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10CF3">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221E68DB">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3A2263B0">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5F55F533">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421AC069">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4FBC32D3">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663"/>
        <w:gridCol w:w="5506"/>
      </w:tblGrid>
      <w:tr w14:paraId="7E9C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65EF883">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6EB44516">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25BD56BF">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1858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6505CA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46E3B03A">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36E892AA">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119C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F456166">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1B083EF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4C6E56ED">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p>
        </w:tc>
      </w:tr>
      <w:tr w14:paraId="6D31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035398F">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579302B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15E930AC">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2F5CD88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合同签订之日起三年或采购费用总额达到该本项目总中标价时，以先到者为准，在供货期内按照采购人的要求分批供货，据实结算。</w:t>
            </w:r>
          </w:p>
        </w:tc>
      </w:tr>
    </w:tbl>
    <w:p w14:paraId="65BCDF23">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490682725"/>
      <w:bookmarkStart w:id="2" w:name="_Toc10379"/>
      <w:bookmarkStart w:id="3" w:name="_Toc20068"/>
      <w:bookmarkStart w:id="4" w:name="_Toc22728"/>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6"/>
        <w:gridCol w:w="5886"/>
        <w:gridCol w:w="426"/>
        <w:gridCol w:w="686"/>
        <w:gridCol w:w="846"/>
      </w:tblGrid>
      <w:tr w14:paraId="2EEB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574F259A">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90682726"/>
            <w:bookmarkStart w:id="6" w:name="_Toc4579"/>
            <w:r>
              <w:rPr>
                <w:rFonts w:hint="eastAsia" w:ascii="宋体" w:hAnsi="宋体" w:eastAsia="宋体" w:cs="宋体"/>
                <w:color w:val="auto"/>
                <w:kern w:val="0"/>
                <w:sz w:val="21"/>
                <w:szCs w:val="21"/>
                <w:highlight w:val="none"/>
              </w:rPr>
              <w:t>序号</w:t>
            </w:r>
          </w:p>
        </w:tc>
        <w:tc>
          <w:tcPr>
            <w:tcW w:w="254" w:type="pct"/>
            <w:tcBorders>
              <w:top w:val="single" w:color="auto" w:sz="4" w:space="0"/>
              <w:left w:val="single" w:color="auto" w:sz="4" w:space="0"/>
              <w:bottom w:val="single" w:color="auto" w:sz="4" w:space="0"/>
              <w:right w:val="single" w:color="auto" w:sz="4" w:space="0"/>
            </w:tcBorders>
            <w:noWrap w:val="0"/>
            <w:vAlign w:val="center"/>
          </w:tcPr>
          <w:p w14:paraId="6505650A">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5DB51E2B">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2A12326D">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42F558DA">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31706D67">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5CCA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44C123F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06B96A2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泡沫敷料</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630B21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由聚氨酯泡沫和水胶体粘胶为主体制成的</w:t>
            </w:r>
            <w:r>
              <w:rPr>
                <w:rFonts w:hint="eastAsia" w:ascii="宋体" w:hAnsi="宋体" w:eastAsia="宋体" w:cs="宋体"/>
                <w:color w:val="auto"/>
                <w:sz w:val="21"/>
                <w:szCs w:val="21"/>
                <w:highlight w:val="none"/>
                <w:lang w:val="en-US" w:eastAsia="zh-CN"/>
              </w:rPr>
              <w:t>无菌</w:t>
            </w:r>
            <w:r>
              <w:rPr>
                <w:rFonts w:hint="default" w:ascii="宋体" w:hAnsi="宋体" w:eastAsia="宋体" w:cs="宋体"/>
                <w:color w:val="auto"/>
                <w:sz w:val="21"/>
                <w:szCs w:val="21"/>
                <w:highlight w:val="none"/>
                <w:lang w:val="en-US" w:eastAsia="zh-CN"/>
              </w:rPr>
              <w:t>敷料。敷料四周的粘胶部分的上层为聚氨酯膜，半透性顶膜可以阻水、在半潮湿条件下能阻止细菌通过。下层为水胶体粘胶，由羧甲基纤维素钠和人造橡胶组成，敷料的中间区域为聚氨酯泡沫。</w:t>
            </w:r>
          </w:p>
          <w:p w14:paraId="75943251">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聚氨酯泡沫厚度为(3±0.8mm)。</w:t>
            </w:r>
          </w:p>
          <w:p w14:paraId="0B8B036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聚氨酯泡具备吸收渗液后泡沫向伤口床突起，形成顺应伤口床形状的“贴合状态”，垂直吸收和原位锁液。</w:t>
            </w:r>
          </w:p>
          <w:p w14:paraId="7CA03F6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吸收能力(≥0.43)g/cm2，水蒸气透过率(&gt;800)g/m/24h 。</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5C68FA1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64CBC94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3DF0D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r>
      <w:tr w14:paraId="597C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4FA5F7A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59907E6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溃疡贴</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B25E25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三层结构:聚氨酯半透顶膜，粘胶层/吸收层，非接触式保护膜。半透性顶膜可以阻水、在半潮湿条件下能阻止细菌通过。</w:t>
            </w:r>
          </w:p>
          <w:p w14:paraId="08FC6B0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 xml:space="preserve"> 吸收层含有</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 xml:space="preserve"> 28.8%羧甲基纤维素钠(CMC)和</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 xml:space="preserve"> 7.2%藻酸盐。</w:t>
            </w:r>
          </w:p>
          <w:p w14:paraId="3439F7AE">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剥离强度 10-30 N/25mm</w:t>
            </w:r>
            <w:r>
              <w:rPr>
                <w:rFonts w:hint="eastAsia" w:ascii="宋体" w:hAnsi="宋体" w:eastAsia="宋体" w:cs="宋体"/>
                <w:color w:val="auto"/>
                <w:sz w:val="21"/>
                <w:szCs w:val="21"/>
                <w:highlight w:val="none"/>
                <w:lang w:val="en-US" w:eastAsia="zh-CN"/>
              </w:rPr>
              <w:t>。</w:t>
            </w:r>
          </w:p>
          <w:p w14:paraId="3C5EA81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液体吸透量&gt;2g/10cm2/24h，水蒸气透过率&gt;15g/m2/24h。</w:t>
            </w:r>
          </w:p>
          <w:p w14:paraId="319B07F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舒适性中可伸展性≤14N/cm，永久变形≤5%。</w:t>
            </w:r>
          </w:p>
          <w:p w14:paraId="6C3DF280">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表面 1cm 方格设计</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方便测量伤口大小。</w:t>
            </w:r>
          </w:p>
          <w:p w14:paraId="2B6C4021">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重金属含量不大于 10ug/g</w:t>
            </w:r>
          </w:p>
          <w:p w14:paraId="02158C7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不含果胶、明胶和其他动物基质。无细胞毒性、皮肤刺激和迟发型超敏反应。</w:t>
            </w:r>
          </w:p>
          <w:p w14:paraId="3516D06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边缘坡型设计。</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1032101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281B883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957D96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r>
      <w:tr w14:paraId="7C6E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7F54055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76BE6E8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透明贴</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1CE6329">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三层结构:聚氨酯半透顶膜，粘胶层/吸收层，非接触式保护膜。半透性顶膜可以阻水、在半潮湿条件下能阻止细菌通过。</w:t>
            </w:r>
          </w:p>
          <w:p w14:paraId="42513C8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吸收层羧甲基纤维素钠(CMC)含量</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 xml:space="preserve"> 26.6%。</w:t>
            </w:r>
          </w:p>
          <w:p w14:paraId="0F58429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剥离强度 7-20 N/25mm</w:t>
            </w:r>
          </w:p>
          <w:p w14:paraId="23A060F1">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液体吸透量&gt;2g /10cm2/24h，水蒸气透过率&gt;150g/m2/24h 。</w:t>
            </w:r>
          </w:p>
          <w:p w14:paraId="4CF5DA40">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舒适性中可伸展性≤14N/cm，永久变形≤5%。</w:t>
            </w:r>
          </w:p>
          <w:p w14:paraId="2CB8A31B">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表面 1cm 方格设计</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方便测量伤口大小。</w:t>
            </w:r>
          </w:p>
          <w:p w14:paraId="0951ABB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lang w:val="en-US" w:eastAsia="zh-CN"/>
              </w:rPr>
              <w:t>重金属含量不大于 10ug/g</w:t>
            </w:r>
          </w:p>
          <w:p w14:paraId="09DD397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default" w:ascii="宋体" w:hAnsi="宋体" w:eastAsia="宋体" w:cs="宋体"/>
                <w:color w:val="auto"/>
                <w:sz w:val="21"/>
                <w:szCs w:val="21"/>
                <w:highlight w:val="none"/>
                <w:lang w:val="en-US" w:eastAsia="zh-CN"/>
              </w:rPr>
              <w:t>不含果胶、明胶和其他动物基质。无细胞毒性、皮肤刺激和迟发型超敏反应。</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1AD8D23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5C78E8B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7E7F3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r>
      <w:tr w14:paraId="337F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253B372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759BA25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一次性使用无菌换药包</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F982F01">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纸盒包装，灭菌后环氧乙烷残留量应不大于10ug/g</w:t>
            </w:r>
          </w:p>
          <w:p w14:paraId="2047FD4F">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脱脂棉球原材料脱脂棉应符合YY/T0330-2015</w:t>
            </w:r>
          </w:p>
          <w:p w14:paraId="6B7549C9">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碘伏棉球每10颗含碘伏重量≥34g，脱脂棉球与碘伏溶液配比：1：7.5，含量应达到2g/L-5.3g/L碘伏溶液。</w:t>
            </w:r>
          </w:p>
          <w:p w14:paraId="10515B8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换药碗要求有2个，镊子必须是金属材质</w:t>
            </w:r>
            <w:r>
              <w:rPr>
                <w:rFonts w:hint="eastAsia" w:ascii="宋体" w:hAnsi="宋体" w:eastAsia="宋体" w:cs="宋体"/>
                <w:color w:val="auto"/>
                <w:sz w:val="21"/>
                <w:szCs w:val="21"/>
                <w:highlight w:val="none"/>
                <w:lang w:val="en-US" w:eastAsia="zh-CN"/>
              </w:rPr>
              <w:t>。</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422EF34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3AA70F8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810B0D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r>
      <w:tr w14:paraId="77C7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3DA364F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527223DC">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医用透明粘膜吸套</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82780F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材料为热塑性聚氨酯，分为前端、后端直壁配合部和后端带斜坡配合部</w:t>
            </w:r>
          </w:p>
          <w:p w14:paraId="766C084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外观：表面无细孔、裂纹和毛刺，产品应透明，外观无破损、明显变形现象。</w:t>
            </w:r>
          </w:p>
          <w:p w14:paraId="5CE929E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硬度：80-100范围内</w:t>
            </w:r>
          </w:p>
          <w:p w14:paraId="0132845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弹性变形：要求安装在内径先端，外观无破损、明显变形现象，应不妨碍内径观察。</w:t>
            </w:r>
          </w:p>
          <w:p w14:paraId="10E1B044">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生物安全性：细胞毒性反应不大于I级，应无致敏反应，刺激反应，试验样品对照，平均记分之差不大于0.1</w:t>
            </w:r>
          </w:p>
          <w:p w14:paraId="7ACE250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化学性能：蒸发残渣，金属离子，还原物质符合相关要求。</w:t>
            </w:r>
          </w:p>
          <w:p w14:paraId="144EF49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lang w:val="en-US" w:eastAsia="zh-CN"/>
              </w:rPr>
              <w:t>无菌：环氧乙烷灭菌后，其残留量应不大于10Ug/g</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07DA01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44185FA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0A8DD0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r>
      <w:tr w14:paraId="4A81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0DFD1AA7">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5D4CF37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一次性使用溶药注射器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F05034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1、一次性使用溶药注射器由外套、芯杆、活塞、针座、侧孔针管（直孔针管）、护套扽组成</w:t>
            </w:r>
          </w:p>
          <w:p w14:paraId="34030F0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2、侧孔针：0.9、1.1、1.2、1.4、1.6</w:t>
            </w:r>
          </w:p>
          <w:p w14:paraId="5DC509C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3、仅供临床配制药液、溶药、加药及抽吸药液使用。</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488B7F7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4A56E62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354B1E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r>
      <w:tr w14:paraId="344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4DEF666B">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1DCB288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造口袋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43DF550">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底盘双螺旋黏胶</w:t>
            </w:r>
          </w:p>
          <w:p w14:paraId="4163539F">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最大剪孔70mm，容积≥510ml</w:t>
            </w:r>
          </w:p>
          <w:p w14:paraId="53B3F37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白色无纺布衬里和透明薄膜</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262C8A9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7488CD5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72A45D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r>
      <w:tr w14:paraId="3F73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2E5ABB48">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1012E68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一次性口垫</w:t>
            </w:r>
          </w:p>
          <w:p w14:paraId="5F57A7B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(有舌带</w:t>
            </w:r>
          </w:p>
          <w:p w14:paraId="279F88F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绳 )</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5EBA7F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口垫按用途分为:A 型(胃镜咬口)、B 型(有舌胃镜咬口)、C 型(雾化咬口)、D 型(肺功能咬口)、E 型(松紧咬口)、F 型(牙垫)。</w:t>
            </w:r>
          </w:p>
          <w:p w14:paraId="1E1B9F2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手术或检查时患者开口的辅助器械， 防止非预期咬合。</w:t>
            </w:r>
          </w:p>
          <w:p w14:paraId="0931D852">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手术或检查时患者开口的辅助器械，采用聚乙烯高分子材料制成。</w:t>
            </w:r>
          </w:p>
          <w:p w14:paraId="31A1324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用于经口腔手术或检查时维持患者的开口状态，防止非预期咬合。</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04BAF94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只</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5D615EA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931105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01D7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61F3F768">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7B58203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扩肛器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3587A5E">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采用塑料制成、由套筒、桶芯和送线器组成。</w:t>
            </w:r>
          </w:p>
          <w:p w14:paraId="32A0EB3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外形应光滑、匀称、各部位无毛刺、无锋棱，无裂纹等缺陷，套筒应圆整，内壁光滑，头端边缘应圆钝，不得有锐口，毛刺，筒芯头端应光滑，与镜管配合应吻合，其最大间隙应不大于0.6MM</w:t>
            </w:r>
          </w:p>
          <w:p w14:paraId="032AA57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强度：在前端10MM处，施加30N的静态载荷后，任何部位不得断裂。</w:t>
            </w:r>
          </w:p>
          <w:p w14:paraId="6A88A3A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表面粗糙度：表面粗糙度参数Ra之数值不大于：内表面3.2微米，外表面0.4微米</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119B3AF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0DCD01A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9D9B8E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r>
      <w:tr w14:paraId="7C9B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397C71BD">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2C5FEBB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气管切开插管套件</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852442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气管切开插管（1个）、内套管（1个）、套管针（1根）、固定带（2条）、导丝（1条）、大导丝导引器（1个）、小导丝导引器（1个）、导丝弯头保护器（1个）、一次性溶药注射器（1支）、手术刀片（1片）、脱脂棉纱布（4片）、消毒刷（3个）、中单（1张）、小单（1张）和孔巾（1条）组成。</w:t>
            </w:r>
          </w:p>
          <w:p w14:paraId="35AF4DA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其中气管切开插管直径为：6.5mm~11.0mm±0.2mm，主要由聚氯乙烯材料制成，有单腔（TRTP1）、双腔（TRTP2）和三腔（TRTP3）三种规格。</w:t>
            </w:r>
          </w:p>
          <w:p w14:paraId="1643A594">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内套管由聚乙烯制成，规格有：7#、7.5#，8#和8.5#。</w:t>
            </w:r>
          </w:p>
          <w:p w14:paraId="42A53A54">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导丝由不锈钢制成，直径为：0.36mm~1.27mm。</w:t>
            </w:r>
          </w:p>
          <w:p w14:paraId="74323EAC">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一次性溶药注射器规格为：5ml。</w:t>
            </w:r>
          </w:p>
          <w:p w14:paraId="4C46A21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手术刀片为11#。</w:t>
            </w:r>
          </w:p>
          <w:p w14:paraId="00368F8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套管针为14G，导管长度为45mm±5mm。</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484304A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09DF3586">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95CB78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510</w:t>
            </w:r>
          </w:p>
        </w:tc>
      </w:tr>
      <w:tr w14:paraId="7E76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47F8E7B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70" w:type="dxa"/>
            <w:tcBorders>
              <w:top w:val="single" w:color="auto" w:sz="4" w:space="0"/>
              <w:left w:val="single" w:color="auto" w:sz="4" w:space="0"/>
              <w:bottom w:val="single" w:color="auto" w:sz="4" w:space="0"/>
              <w:right w:val="single" w:color="auto" w:sz="4" w:space="0"/>
            </w:tcBorders>
            <w:noWrap w:val="0"/>
            <w:vAlign w:val="center"/>
          </w:tcPr>
          <w:p w14:paraId="12B5076C">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牛角型经皮扩张气管切开管套件</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F9197F8">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、适应症：所有需要长时间机械通气治疗的患者，颌面部，头颈部大手术或严重创伤的病人，高位颈椎损伤，特别是损伤后立即出现呼吸困难者，应及时实施气管切开。</w:t>
            </w:r>
          </w:p>
          <w:p w14:paraId="5E2FC178">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 xml:space="preserve">、用于经皮扩张气管切开术，采用Seldinger穿刺技术，经环状软骨下去选择性控制插入气管切开套管，进行气道管理。                              </w:t>
            </w:r>
          </w:p>
          <w:p w14:paraId="2F04888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①材质要求：热敏PVC材质，确保初始置管时的硬度,插管材质随体温变化亦可降低组织损伤可能。</w:t>
            </w:r>
          </w:p>
          <w:p w14:paraId="1BFDFDB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结构组成：产品由气管切开插管、牛角型扩张器、扩张器、气管切开插管插管芯（导入器）、导引导管、长柄手术刀、导丝、导丝推送器、软套针、一次性使用配药注射器、海绵固定带、脱脂纱布、洞巾、铺巾组成；其中，气管切开插管由聚氯乙烯、聚甲醛制成；牛角型扩张器由聚氨酯、聚乙烯吡络烷酮制成；扩张器由聚丙烯制成；导丝由镍钛、不锈钢、聚四氟乙烯制成。型号齐全，适合各种成人患者</w:t>
            </w:r>
            <w:r>
              <w:rPr>
                <w:rFonts w:hint="eastAsia" w:ascii="宋体" w:hAnsi="宋体" w:eastAsia="宋体" w:cs="宋体"/>
                <w:color w:val="auto"/>
                <w:sz w:val="21"/>
                <w:szCs w:val="21"/>
                <w:highlight w:val="none"/>
                <w:lang w:val="en-US" w:eastAsia="zh-CN"/>
              </w:rPr>
              <w:t>。</w:t>
            </w:r>
          </w:p>
          <w:p w14:paraId="5A24BBC6">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③一次性使用，无需消毒。15mm标准接头，可以连接呼吸机和呼吸球囊，便于抢救和通气。</w:t>
            </w:r>
          </w:p>
          <w:p w14:paraId="6A9523E5">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④插管管身角度&gt;100度，符合人体解剖学。管身柔软，提高患者舒适度。独特蓝线设计Blue Line让插管在X线下可见。</w:t>
            </w:r>
          </w:p>
          <w:p w14:paraId="0215F90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⑤Soft Seal低压高容套囊有效防止误吸的同时减少气道损伤。顶部圆滑形设计,减少气管壁损伤。</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603F5BBF">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62BCB8B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F9BDA1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2350</w:t>
            </w:r>
          </w:p>
        </w:tc>
      </w:tr>
      <w:tr w14:paraId="2FF6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26E01529">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宋体" w:hAnsi="宋体" w:eastAsia="宋体" w:cs="宋体"/>
                <w:b/>
                <w:color w:val="auto"/>
                <w:sz w:val="21"/>
                <w:szCs w:val="21"/>
                <w:highlight w:val="none"/>
              </w:rPr>
              <w:t>说明：</w:t>
            </w:r>
          </w:p>
          <w:p w14:paraId="148C8E2B">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1、投标人的投标文件必须标明所供货物的品牌与参数，保证原厂正品供货，提供相关资料等，如为进口产品需在备注栏标明进口。</w:t>
            </w:r>
          </w:p>
          <w:p w14:paraId="08A748AA">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2、属于集采平台目录内的产品,必须满足两票制和安徽省医药集中采购中心平台价格上传有关要求，并在平台配送，如供货价格高于集采平台价格，则按集采平台价格进行供货。</w:t>
            </w:r>
          </w:p>
          <w:p w14:paraId="2FC5B0A3">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3、本表中的“数量”为预计三年使用量，仅供投标人报价时参考。</w:t>
            </w:r>
          </w:p>
          <w:p w14:paraId="03439E3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4、供货期自合同签订之日起三年或采购费用总额达到该本项目总中标价时，以先到者为准，在供货期内按照采购人的要求分批供货，据实结算。</w:t>
            </w:r>
          </w:p>
          <w:p w14:paraId="47D8AEF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5、必须满足我院耗材精细化管理的要求(服务费率：供货金额的2%)。服务期内如遇国家、省、市医保带量采购等相关政策调整，按国家、省、市医保带量采购等相关政策执行。</w:t>
            </w:r>
          </w:p>
          <w:p w14:paraId="1754B32F">
            <w:pPr>
              <w:pageBreakBefore w:val="0"/>
              <w:kinsoku/>
              <w:overflowPunct/>
              <w:topLinePunct w:val="0"/>
              <w:bidi w:val="0"/>
              <w:snapToGrid/>
              <w:spacing w:line="420" w:lineRule="exact"/>
              <w:jc w:val="lef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6、合同履行的过程中，如因安徽省医药集中采购中心平台限价降低导致价格低于合同价，乙方须主动将所供产品价格降为平台以下价格。如因主管部门等政府行为需要重新招标时，合同自动终止</w:t>
            </w:r>
            <w:r>
              <w:rPr>
                <w:rFonts w:hint="eastAsia" w:ascii="仿宋" w:hAnsi="仿宋" w:eastAsia="仿宋" w:cs="仿宋"/>
                <w:b w:val="0"/>
                <w:bCs/>
                <w:color w:val="000000"/>
                <w:kern w:val="2"/>
                <w:sz w:val="21"/>
                <w:szCs w:val="21"/>
                <w:highlight w:val="none"/>
                <w:lang w:val="en-US" w:eastAsia="zh-CN"/>
              </w:rPr>
              <w:t>。</w:t>
            </w:r>
          </w:p>
        </w:tc>
      </w:tr>
      <w:bookmarkEnd w:id="0"/>
      <w:bookmarkEnd w:id="5"/>
      <w:bookmarkEnd w:id="6"/>
    </w:tbl>
    <w:p w14:paraId="009A0895">
      <w:pPr>
        <w:spacing w:line="360" w:lineRule="auto"/>
        <w:ind w:firstLine="437"/>
        <w:outlineLvl w:val="1"/>
        <w:rPr>
          <w:rFonts w:ascii="宋体" w:hAnsi="宋体" w:eastAsia="宋体"/>
          <w:b/>
          <w:bCs/>
          <w:color w:val="auto"/>
          <w:sz w:val="21"/>
          <w:szCs w:val="21"/>
          <w:highlight w:val="none"/>
        </w:rPr>
      </w:pPr>
      <w:bookmarkStart w:id="7" w:name="_Toc4843"/>
      <w:bookmarkStart w:id="8" w:name="_Toc7421"/>
      <w:r>
        <w:rPr>
          <w:rFonts w:hint="eastAsia" w:ascii="宋体" w:hAnsi="宋体" w:eastAsia="宋体"/>
          <w:b/>
          <w:bCs/>
          <w:color w:val="auto"/>
          <w:sz w:val="21"/>
          <w:szCs w:val="21"/>
          <w:highlight w:val="none"/>
        </w:rPr>
        <w:t>三、</w:t>
      </w:r>
      <w:bookmarkEnd w:id="7"/>
      <w:bookmarkEnd w:id="8"/>
      <w:bookmarkStart w:id="9" w:name="_Toc15293"/>
      <w:bookmarkStart w:id="10" w:name="_Toc14698"/>
      <w:r>
        <w:rPr>
          <w:rFonts w:hint="eastAsia" w:ascii="宋体" w:hAnsi="宋体" w:eastAsia="宋体"/>
          <w:b/>
          <w:bCs/>
          <w:color w:val="auto"/>
          <w:sz w:val="21"/>
          <w:szCs w:val="21"/>
          <w:highlight w:val="none"/>
        </w:rPr>
        <w:t>其他要求</w:t>
      </w:r>
      <w:bookmarkEnd w:id="9"/>
      <w:bookmarkEnd w:id="10"/>
    </w:p>
    <w:p w14:paraId="58ABB9C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426B2E1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65DBA46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6897"/>
      <w:bookmarkStart w:id="12" w:name="_Toc10710"/>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45201BF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1EF9DEA6">
      <w:bookmarkStart w:id="13" w:name="_GoBack"/>
      <w:bookmarkEnd w:id="13"/>
    </w:p>
    <w:sectPr>
      <w:pgSz w:w="11906" w:h="16838"/>
      <w:pgMar w:top="1383" w:right="1633" w:bottom="138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7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uiPriority w:val="39"/>
    <w:pPr>
      <w:tabs>
        <w:tab w:val="left" w:pos="1260"/>
        <w:tab w:val="right" w:leader="dot" w:pos="9060"/>
      </w:tabs>
      <w:spacing w:line="500" w:lineRule="exact"/>
    </w:pPr>
    <w:rPr>
      <w:sz w:val="24"/>
    </w:rPr>
  </w:style>
  <w:style w:type="paragraph" w:styleId="5">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2025-06-12T06:41:08Z</dcterms:created>
  <dc:creator>Administrator</dc:creator>
  <cp:lastModifiedBy>调皮あ小女</cp:lastModifiedBy>
  <dcterms:modified xsi:type="dcterms:W3CDTF">2025-06-12T06:41:42Z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8C2AD8CC7BF54BFF9582DBC608EEF219_12</vt:lpwstr>
  </property>
</Properties>
</file>