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9857C">
      <w:pPr>
        <w:pStyle w:val="3"/>
        <w:pageBreakBefore w:val="0"/>
        <w:numPr>
          <w:ilvl w:val="0"/>
          <w:numId w:val="0"/>
        </w:numPr>
        <w:kinsoku/>
        <w:overflowPunct/>
        <w:topLinePunct w:val="0"/>
        <w:bidi w:val="0"/>
        <w:adjustRightInd w:val="0"/>
        <w:snapToGrid w:val="0"/>
        <w:spacing w:beforeLines="0" w:afterLines="0" w:line="420" w:lineRule="atLeast"/>
        <w:jc w:val="center"/>
        <w:textAlignment w:val="auto"/>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采购需求</w:t>
      </w:r>
    </w:p>
    <w:p w14:paraId="4B1FD2CD">
      <w:pPr>
        <w:keepNext w:val="0"/>
        <w:keepLines w:val="0"/>
        <w:pageBreakBefore w:val="0"/>
        <w:widowControl/>
        <w:kinsoku/>
        <w:wordWrap/>
        <w:overflowPunct/>
        <w:topLinePunct w:val="0"/>
        <w:autoSpaceDE/>
        <w:autoSpaceDN/>
        <w:bidi w:val="0"/>
        <w:adjustRightInd w:val="0"/>
        <w:snapToGrid w:val="0"/>
        <w:spacing w:line="420" w:lineRule="atLeas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3BA7A063">
      <w:pPr>
        <w:keepNext w:val="0"/>
        <w:keepLines w:val="0"/>
        <w:pageBreakBefore w:val="0"/>
        <w:widowControl/>
        <w:kinsoku/>
        <w:wordWrap/>
        <w:overflowPunct/>
        <w:topLinePunct w:val="0"/>
        <w:autoSpaceDE/>
        <w:autoSpaceDN/>
        <w:bidi w:val="0"/>
        <w:adjustRightInd w:val="0"/>
        <w:snapToGrid w:val="0"/>
        <w:spacing w:line="420" w:lineRule="atLeas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46C8320C">
      <w:pPr>
        <w:keepNext w:val="0"/>
        <w:keepLines w:val="0"/>
        <w:pageBreakBefore w:val="0"/>
        <w:widowControl/>
        <w:kinsoku/>
        <w:wordWrap/>
        <w:overflowPunct/>
        <w:topLinePunct w:val="0"/>
        <w:autoSpaceDE/>
        <w:autoSpaceDN/>
        <w:bidi w:val="0"/>
        <w:adjustRightInd w:val="0"/>
        <w:snapToGrid w:val="0"/>
        <w:spacing w:line="420" w:lineRule="atLeas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2318ADFE">
      <w:pPr>
        <w:pageBreakBefore w:val="0"/>
        <w:kinsoku/>
        <w:overflowPunct/>
        <w:topLinePunct w:val="0"/>
        <w:bidi w:val="0"/>
        <w:adjustRightInd w:val="0"/>
        <w:snapToGrid w:val="0"/>
        <w:spacing w:line="420" w:lineRule="atLeast"/>
        <w:ind w:firstLine="422" w:firstLineChars="200"/>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一、</w:t>
      </w:r>
      <w:r>
        <w:rPr>
          <w:rFonts w:hint="eastAsia" w:ascii="宋体" w:hAnsi="宋体"/>
          <w:b/>
          <w:bCs/>
          <w:color w:val="auto"/>
          <w:szCs w:val="21"/>
          <w:highlight w:val="none"/>
          <w:lang w:val="en-US" w:eastAsia="zh-CN"/>
        </w:rPr>
        <w:t>采购需求前附表</w:t>
      </w: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0A25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370BB5A2">
            <w:pPr>
              <w:pStyle w:val="7"/>
              <w:pageBreakBefore w:val="0"/>
              <w:kinsoku/>
              <w:overflowPunct/>
              <w:topLinePunct w:val="0"/>
              <w:bidi w:val="0"/>
              <w:adjustRightInd w:val="0"/>
              <w:snapToGrid w:val="0"/>
              <w:spacing w:line="420" w:lineRule="atLeas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2391" w:type="dxa"/>
            <w:noWrap w:val="0"/>
            <w:vAlign w:val="center"/>
          </w:tcPr>
          <w:p w14:paraId="7FD570B9">
            <w:pPr>
              <w:pStyle w:val="7"/>
              <w:pageBreakBefore w:val="0"/>
              <w:kinsoku/>
              <w:overflowPunct/>
              <w:topLinePunct w:val="0"/>
              <w:bidi w:val="0"/>
              <w:adjustRightInd w:val="0"/>
              <w:snapToGrid w:val="0"/>
              <w:spacing w:line="420" w:lineRule="atLeast"/>
              <w:jc w:val="center"/>
              <w:textAlignment w:val="auto"/>
              <w:rPr>
                <w:rFonts w:ascii="宋体" w:hAnsi="宋体" w:cs="Wingdings"/>
                <w:b/>
                <w:color w:val="auto"/>
                <w:sz w:val="21"/>
                <w:szCs w:val="21"/>
                <w:highlight w:val="none"/>
              </w:rPr>
            </w:pPr>
            <w:r>
              <w:rPr>
                <w:rFonts w:hint="eastAsia" w:ascii="宋体" w:hAnsi="宋体"/>
                <w:b/>
                <w:bCs/>
                <w:color w:val="auto"/>
                <w:sz w:val="21"/>
                <w:szCs w:val="21"/>
                <w:highlight w:val="none"/>
              </w:rPr>
              <w:t>商务条款名称</w:t>
            </w:r>
          </w:p>
          <w:p w14:paraId="4F7AC8DE">
            <w:pPr>
              <w:pageBreakBefore w:val="0"/>
              <w:kinsoku/>
              <w:overflowPunct/>
              <w:topLinePunct w:val="0"/>
              <w:bidi w:val="0"/>
              <w:adjustRightInd w:val="0"/>
              <w:snapToGrid w:val="0"/>
              <w:spacing w:line="420" w:lineRule="atLeast"/>
              <w:textAlignment w:val="auto"/>
              <w:rPr>
                <w:color w:val="auto"/>
                <w:sz w:val="21"/>
                <w:szCs w:val="21"/>
                <w:highlight w:val="none"/>
              </w:rPr>
            </w:pPr>
          </w:p>
        </w:tc>
        <w:tc>
          <w:tcPr>
            <w:tcW w:w="5170" w:type="dxa"/>
            <w:noWrap w:val="0"/>
            <w:vAlign w:val="center"/>
          </w:tcPr>
          <w:p w14:paraId="0450DB34">
            <w:pPr>
              <w:pStyle w:val="7"/>
              <w:pageBreakBefore w:val="0"/>
              <w:kinsoku/>
              <w:overflowPunct/>
              <w:topLinePunct w:val="0"/>
              <w:bidi w:val="0"/>
              <w:adjustRightInd w:val="0"/>
              <w:snapToGrid w:val="0"/>
              <w:spacing w:line="420" w:lineRule="atLeas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52FA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3E0C93B3">
            <w:pPr>
              <w:pageBreakBefore w:val="0"/>
              <w:kinsoku/>
              <w:overflowPunct/>
              <w:topLinePunct w:val="0"/>
              <w:bidi w:val="0"/>
              <w:adjustRightInd w:val="0"/>
              <w:snapToGrid w:val="0"/>
              <w:spacing w:line="420" w:lineRule="atLeas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2391" w:type="dxa"/>
            <w:noWrap w:val="0"/>
            <w:vAlign w:val="center"/>
          </w:tcPr>
          <w:p w14:paraId="17F23BA2">
            <w:pPr>
              <w:pageBreakBefore w:val="0"/>
              <w:kinsoku/>
              <w:overflowPunct/>
              <w:topLinePunct w:val="0"/>
              <w:bidi w:val="0"/>
              <w:adjustRightInd w:val="0"/>
              <w:snapToGrid w:val="0"/>
              <w:spacing w:line="420" w:lineRule="atLeas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170" w:type="dxa"/>
            <w:noWrap w:val="0"/>
            <w:vAlign w:val="center"/>
          </w:tcPr>
          <w:p w14:paraId="3C287DA9">
            <w:pPr>
              <w:pageBreakBefore w:val="0"/>
              <w:kinsoku/>
              <w:overflowPunct/>
              <w:topLinePunct w:val="0"/>
              <w:bidi w:val="0"/>
              <w:adjustRightInd w:val="0"/>
              <w:snapToGrid w:val="0"/>
              <w:spacing w:line="420" w:lineRule="atLeas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验收合格后一次性付清</w:t>
            </w:r>
          </w:p>
        </w:tc>
      </w:tr>
      <w:tr w14:paraId="6887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3ED37B83">
            <w:pPr>
              <w:pageBreakBefore w:val="0"/>
              <w:kinsoku/>
              <w:overflowPunct/>
              <w:topLinePunct w:val="0"/>
              <w:bidi w:val="0"/>
              <w:adjustRightInd w:val="0"/>
              <w:snapToGrid w:val="0"/>
              <w:spacing w:line="420" w:lineRule="atLeas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391" w:type="dxa"/>
            <w:noWrap w:val="0"/>
            <w:vAlign w:val="center"/>
          </w:tcPr>
          <w:p w14:paraId="5C47852C">
            <w:pPr>
              <w:pageBreakBefore w:val="0"/>
              <w:kinsoku/>
              <w:overflowPunct/>
              <w:topLinePunct w:val="0"/>
              <w:bidi w:val="0"/>
              <w:adjustRightInd w:val="0"/>
              <w:snapToGrid w:val="0"/>
              <w:spacing w:line="420" w:lineRule="atLeast"/>
              <w:jc w:val="center"/>
              <w:textAlignment w:val="auto"/>
              <w:rPr>
                <w:rFonts w:ascii="宋体" w:hAnsi="宋体"/>
                <w:color w:val="auto"/>
                <w:sz w:val="21"/>
                <w:szCs w:val="21"/>
                <w:highlight w:val="none"/>
              </w:rPr>
            </w:pPr>
            <w:r>
              <w:rPr>
                <w:rFonts w:hint="eastAsia" w:ascii="宋体" w:hAnsi="宋体"/>
                <w:color w:val="auto"/>
                <w:sz w:val="21"/>
                <w:szCs w:val="21"/>
                <w:highlight w:val="none"/>
              </w:rPr>
              <w:t>供货及安装地点</w:t>
            </w:r>
          </w:p>
        </w:tc>
        <w:tc>
          <w:tcPr>
            <w:tcW w:w="5170" w:type="dxa"/>
            <w:noWrap w:val="0"/>
            <w:vAlign w:val="center"/>
          </w:tcPr>
          <w:p w14:paraId="23DB04AF">
            <w:pPr>
              <w:pageBreakBefore w:val="0"/>
              <w:kinsoku/>
              <w:overflowPunct/>
              <w:topLinePunct w:val="0"/>
              <w:bidi w:val="0"/>
              <w:adjustRightInd w:val="0"/>
              <w:snapToGrid w:val="0"/>
              <w:spacing w:line="420" w:lineRule="atLeast"/>
              <w:jc w:val="both"/>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安庆市第二人民医院</w:t>
            </w:r>
          </w:p>
        </w:tc>
      </w:tr>
      <w:tr w14:paraId="5C11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19FDF69B">
            <w:pPr>
              <w:pageBreakBefore w:val="0"/>
              <w:kinsoku/>
              <w:overflowPunct/>
              <w:topLinePunct w:val="0"/>
              <w:bidi w:val="0"/>
              <w:adjustRightInd w:val="0"/>
              <w:snapToGrid w:val="0"/>
              <w:spacing w:line="420" w:lineRule="atLeas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391" w:type="dxa"/>
            <w:noWrap w:val="0"/>
            <w:vAlign w:val="center"/>
          </w:tcPr>
          <w:p w14:paraId="50984663">
            <w:pPr>
              <w:pageBreakBefore w:val="0"/>
              <w:kinsoku/>
              <w:overflowPunct/>
              <w:topLinePunct w:val="0"/>
              <w:bidi w:val="0"/>
              <w:adjustRightInd w:val="0"/>
              <w:snapToGrid w:val="0"/>
              <w:spacing w:line="420" w:lineRule="atLeas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63713B49">
            <w:pPr>
              <w:pageBreakBefore w:val="0"/>
              <w:kinsoku/>
              <w:overflowPunct/>
              <w:topLinePunct w:val="0"/>
              <w:bidi w:val="0"/>
              <w:adjustRightInd w:val="0"/>
              <w:snapToGrid w:val="0"/>
              <w:spacing w:line="420" w:lineRule="atLeas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rPr>
              <w:t>供货及安装期限</w:t>
            </w:r>
            <w:r>
              <w:rPr>
                <w:rFonts w:hint="eastAsia" w:ascii="宋体" w:hAnsi="宋体"/>
                <w:color w:val="auto"/>
                <w:sz w:val="21"/>
                <w:szCs w:val="21"/>
                <w:highlight w:val="none"/>
                <w:lang w:val="en-US" w:eastAsia="zh-CN"/>
              </w:rPr>
              <w:t>）</w:t>
            </w:r>
          </w:p>
        </w:tc>
        <w:tc>
          <w:tcPr>
            <w:tcW w:w="5170" w:type="dxa"/>
            <w:noWrap w:val="0"/>
            <w:vAlign w:val="center"/>
          </w:tcPr>
          <w:p w14:paraId="7F2A483E">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自合同签订之日起15日历天内完成交货、安装及调试</w:t>
            </w:r>
          </w:p>
        </w:tc>
      </w:tr>
      <w:tr w14:paraId="5A3E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noWrap w:val="0"/>
            <w:vAlign w:val="center"/>
          </w:tcPr>
          <w:p w14:paraId="6424CA0B">
            <w:pPr>
              <w:pageBreakBefore w:val="0"/>
              <w:kinsoku/>
              <w:overflowPunct/>
              <w:topLinePunct w:val="0"/>
              <w:bidi w:val="0"/>
              <w:adjustRightInd w:val="0"/>
              <w:snapToGrid w:val="0"/>
              <w:spacing w:line="420" w:lineRule="atLeast"/>
              <w:jc w:val="center"/>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2391" w:type="dxa"/>
            <w:noWrap w:val="0"/>
            <w:vAlign w:val="center"/>
          </w:tcPr>
          <w:p w14:paraId="6CFA5232">
            <w:pPr>
              <w:pageBreakBefore w:val="0"/>
              <w:kinsoku/>
              <w:overflowPunct/>
              <w:topLinePunct w:val="0"/>
              <w:bidi w:val="0"/>
              <w:adjustRightInd w:val="0"/>
              <w:snapToGrid w:val="0"/>
              <w:spacing w:line="420" w:lineRule="atLeast"/>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免费质保期</w:t>
            </w:r>
          </w:p>
        </w:tc>
        <w:tc>
          <w:tcPr>
            <w:tcW w:w="5170" w:type="dxa"/>
            <w:noWrap w:val="0"/>
            <w:vAlign w:val="center"/>
          </w:tcPr>
          <w:p w14:paraId="0CA810B2">
            <w:pPr>
              <w:keepNext w:val="0"/>
              <w:keepLines w:val="0"/>
              <w:widowControl/>
              <w:suppressLineNumbers w:val="0"/>
              <w:jc w:val="left"/>
              <w:rPr>
                <w:rFonts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需提供免费的整机维保维修 2 年，自机组到现场日起计算</w:t>
            </w:r>
          </w:p>
        </w:tc>
      </w:tr>
      <w:tr w14:paraId="22A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34D37DD9">
            <w:pPr>
              <w:pageBreakBefore w:val="0"/>
              <w:kinsoku/>
              <w:overflowPunct/>
              <w:topLinePunct w:val="0"/>
              <w:bidi w:val="0"/>
              <w:adjustRightInd w:val="0"/>
              <w:snapToGrid w:val="0"/>
              <w:spacing w:line="420" w:lineRule="atLeast"/>
              <w:jc w:val="center"/>
              <w:textAlignment w:val="auto"/>
              <w:rPr>
                <w:rFonts w:hint="default" w:ascii="宋体" w:hAnsi="宋体" w:eastAsia="宋体"/>
                <w:color w:val="auto"/>
                <w:sz w:val="21"/>
                <w:szCs w:val="21"/>
                <w:highlight w:val="none"/>
                <w:lang w:val="en-US" w:eastAsia="zh-CN"/>
              </w:rPr>
            </w:pPr>
          </w:p>
        </w:tc>
        <w:tc>
          <w:tcPr>
            <w:tcW w:w="2391" w:type="dxa"/>
            <w:noWrap w:val="0"/>
            <w:vAlign w:val="center"/>
          </w:tcPr>
          <w:p w14:paraId="7995C08E">
            <w:pPr>
              <w:pageBreakBefore w:val="0"/>
              <w:kinsoku/>
              <w:overflowPunct/>
              <w:topLinePunct w:val="0"/>
              <w:bidi w:val="0"/>
              <w:adjustRightInd w:val="0"/>
              <w:snapToGrid w:val="0"/>
              <w:spacing w:line="420" w:lineRule="atLeast"/>
              <w:jc w:val="center"/>
              <w:textAlignment w:val="auto"/>
              <w:rPr>
                <w:rFonts w:hint="default" w:ascii="宋体" w:hAnsi="宋体"/>
                <w:color w:val="auto"/>
                <w:sz w:val="21"/>
                <w:szCs w:val="21"/>
                <w:highlight w:val="none"/>
                <w:lang w:val="en-US" w:eastAsia="zh-CN"/>
              </w:rPr>
            </w:pPr>
          </w:p>
        </w:tc>
        <w:tc>
          <w:tcPr>
            <w:tcW w:w="5170" w:type="dxa"/>
            <w:noWrap w:val="0"/>
            <w:vAlign w:val="center"/>
          </w:tcPr>
          <w:p w14:paraId="33BCBE4C">
            <w:pPr>
              <w:pageBreakBefore w:val="0"/>
              <w:kinsoku/>
              <w:overflowPunct/>
              <w:topLinePunct w:val="0"/>
              <w:bidi w:val="0"/>
              <w:adjustRightInd w:val="0"/>
              <w:snapToGrid w:val="0"/>
              <w:spacing w:line="420" w:lineRule="atLeast"/>
              <w:jc w:val="center"/>
              <w:textAlignment w:val="auto"/>
              <w:rPr>
                <w:rFonts w:ascii="宋体" w:hAnsi="宋体" w:eastAsia="宋体"/>
                <w:color w:val="auto"/>
                <w:sz w:val="21"/>
                <w:szCs w:val="21"/>
                <w:highlight w:val="none"/>
              </w:rPr>
            </w:pPr>
          </w:p>
        </w:tc>
      </w:tr>
    </w:tbl>
    <w:p w14:paraId="1CE080C4">
      <w:pPr>
        <w:pageBreakBefore w:val="0"/>
        <w:kinsoku/>
        <w:overflowPunct/>
        <w:topLinePunct w:val="0"/>
        <w:bidi w:val="0"/>
        <w:adjustRightInd w:val="0"/>
        <w:snapToGrid w:val="0"/>
        <w:spacing w:line="420" w:lineRule="atLeast"/>
        <w:ind w:firstLine="422" w:firstLineChars="200"/>
        <w:textAlignment w:val="auto"/>
        <w:rPr>
          <w:rFonts w:ascii="宋体" w:hAnsi="宋体"/>
          <w:b/>
          <w:bCs/>
          <w:color w:val="auto"/>
          <w:szCs w:val="21"/>
          <w:highlight w:val="none"/>
        </w:rPr>
      </w:pPr>
    </w:p>
    <w:p w14:paraId="235EB610">
      <w:pPr>
        <w:pStyle w:val="5"/>
        <w:pageBreakBefore w:val="0"/>
        <w:tabs>
          <w:tab w:val="left" w:pos="2730"/>
        </w:tabs>
        <w:kinsoku/>
        <w:overflowPunct/>
        <w:topLinePunct w:val="0"/>
        <w:bidi w:val="0"/>
        <w:adjustRightInd w:val="0"/>
        <w:snapToGrid w:val="0"/>
        <w:spacing w:line="420" w:lineRule="atLeast"/>
        <w:ind w:firstLine="413" w:firstLineChars="196"/>
        <w:textAlignment w:val="auto"/>
        <w:rPr>
          <w:rFonts w:hint="default" w:hAnsi="宋体" w:eastAsia="宋体"/>
          <w:bCs/>
          <w:color w:val="auto"/>
          <w:sz w:val="21"/>
          <w:szCs w:val="21"/>
          <w:highlight w:val="none"/>
          <w:lang w:val="en-US" w:eastAsia="zh-CN"/>
        </w:rPr>
      </w:pPr>
      <w:r>
        <w:rPr>
          <w:rFonts w:hint="eastAsia" w:hAnsi="宋体"/>
          <w:bCs/>
          <w:color w:val="auto"/>
          <w:sz w:val="21"/>
          <w:szCs w:val="21"/>
          <w:highlight w:val="none"/>
        </w:rPr>
        <w:t>二、</w:t>
      </w:r>
      <w:r>
        <w:rPr>
          <w:rFonts w:hint="eastAsia" w:hAnsi="宋体"/>
          <w:bCs/>
          <w:color w:val="auto"/>
          <w:sz w:val="21"/>
          <w:szCs w:val="21"/>
          <w:highlight w:val="none"/>
          <w:lang w:val="en-US" w:eastAsia="zh-CN"/>
        </w:rPr>
        <w:t>货物需求</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63"/>
        <w:gridCol w:w="3975"/>
        <w:gridCol w:w="584"/>
        <w:gridCol w:w="679"/>
        <w:gridCol w:w="719"/>
      </w:tblGrid>
      <w:tr w14:paraId="52A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14:paraId="0E163026">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序号</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8A17343">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货物名称</w:t>
            </w:r>
          </w:p>
        </w:tc>
        <w:tc>
          <w:tcPr>
            <w:tcW w:w="3975" w:type="dxa"/>
            <w:tcBorders>
              <w:top w:val="single" w:color="auto" w:sz="4" w:space="0"/>
              <w:left w:val="single" w:color="auto" w:sz="4" w:space="0"/>
              <w:bottom w:val="single" w:color="auto" w:sz="4" w:space="0"/>
              <w:right w:val="single" w:color="auto" w:sz="4" w:space="0"/>
            </w:tcBorders>
            <w:noWrap w:val="0"/>
            <w:vAlign w:val="center"/>
          </w:tcPr>
          <w:p w14:paraId="3591E616">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招标技术参数</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341D622E">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单位</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265DDB93">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数量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6E3B313">
            <w:pPr>
              <w:pageBreakBefore w:val="0"/>
              <w:widowControl/>
              <w:kinsoku/>
              <w:overflowPunct/>
              <w:topLinePunct w:val="0"/>
              <w:bidi w:val="0"/>
              <w:adjustRightInd w:val="0"/>
              <w:snapToGrid w:val="0"/>
              <w:spacing w:line="420" w:lineRule="atLeast"/>
              <w:jc w:val="center"/>
              <w:textAlignment w:val="auto"/>
              <w:rPr>
                <w:rFonts w:ascii="宋体" w:hAnsi="宋体" w:cs="Arial"/>
                <w:color w:val="auto"/>
                <w:kern w:val="0"/>
                <w:sz w:val="21"/>
                <w:szCs w:val="21"/>
                <w:highlight w:val="none"/>
              </w:rPr>
            </w:pPr>
            <w:r>
              <w:rPr>
                <w:rFonts w:hint="eastAsia" w:ascii="宋体" w:hAnsi="宋体" w:cs="Arial"/>
                <w:color w:val="auto"/>
                <w:kern w:val="0"/>
                <w:sz w:val="21"/>
                <w:szCs w:val="21"/>
                <w:highlight w:val="none"/>
              </w:rPr>
              <w:t>备注</w:t>
            </w:r>
          </w:p>
        </w:tc>
      </w:tr>
      <w:tr w14:paraId="3239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14:paraId="5E4278C7">
            <w:pPr>
              <w:pageBreakBefore w:val="0"/>
              <w:widowControl/>
              <w:kinsoku/>
              <w:overflowPunct/>
              <w:topLinePunct w:val="0"/>
              <w:bidi w:val="0"/>
              <w:adjustRightInd w:val="0"/>
              <w:snapToGrid w:val="0"/>
              <w:spacing w:line="420" w:lineRule="atLeast"/>
              <w:jc w:val="center"/>
              <w:textAlignment w:val="auto"/>
              <w:rPr>
                <w:rFonts w:ascii="Arial" w:hAnsi="Arial" w:cs="Arial"/>
                <w:color w:val="auto"/>
                <w:kern w:val="0"/>
                <w:sz w:val="21"/>
                <w:szCs w:val="21"/>
                <w:highlight w:val="none"/>
              </w:rPr>
            </w:pPr>
            <w:r>
              <w:rPr>
                <w:rFonts w:hint="eastAsia" w:ascii="宋体" w:hAnsi="宋体" w:cs="宋体"/>
                <w:color w:val="auto"/>
                <w:kern w:val="0"/>
                <w:sz w:val="21"/>
                <w:szCs w:val="21"/>
                <w:highlight w:val="none"/>
              </w:rPr>
              <w:t>1</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E667620">
            <w:pPr>
              <w:pageBreakBefore w:val="0"/>
              <w:widowControl/>
              <w:kinsoku/>
              <w:overflowPunct/>
              <w:topLinePunct w:val="0"/>
              <w:bidi w:val="0"/>
              <w:adjustRightInd w:val="0"/>
              <w:snapToGrid w:val="0"/>
              <w:spacing w:line="420" w:lineRule="atLeast"/>
              <w:jc w:val="center"/>
              <w:textAlignment w:val="auto"/>
              <w:rPr>
                <w:rFonts w:ascii="Arial" w:hAnsi="Arial" w:cs="Arial"/>
                <w:strike/>
                <w:dstrike w:val="0"/>
                <w:color w:val="auto"/>
                <w:kern w:val="0"/>
                <w:sz w:val="21"/>
                <w:szCs w:val="21"/>
                <w:highlight w:val="none"/>
              </w:rPr>
            </w:pPr>
            <w:r>
              <w:rPr>
                <w:rFonts w:hint="eastAsia" w:ascii="Arial" w:hAnsi="Arial" w:cs="Arial"/>
                <w:strike w:val="0"/>
                <w:dstrike w:val="0"/>
                <w:color w:val="auto"/>
                <w:kern w:val="0"/>
                <w:sz w:val="21"/>
                <w:szCs w:val="21"/>
                <w:highlight w:val="none"/>
              </w:rPr>
              <w:t>柴油发电机</w:t>
            </w:r>
          </w:p>
        </w:tc>
        <w:tc>
          <w:tcPr>
            <w:tcW w:w="3975" w:type="dxa"/>
            <w:tcBorders>
              <w:top w:val="single" w:color="auto" w:sz="4" w:space="0"/>
              <w:left w:val="single" w:color="auto" w:sz="4" w:space="0"/>
              <w:bottom w:val="single" w:color="auto" w:sz="4" w:space="0"/>
              <w:right w:val="single" w:color="auto" w:sz="4" w:space="0"/>
            </w:tcBorders>
            <w:noWrap w:val="0"/>
            <w:vAlign w:val="center"/>
          </w:tcPr>
          <w:p w14:paraId="76F4CB50">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拟采购150KW柴油发电机两组，柴发至配电柜连接电缆（需要185电缆，约60米，实际数量以最终审计为准），其余配套设备及实际使用功能以满足设计说明为准，如下：</w:t>
            </w:r>
          </w:p>
          <w:p w14:paraId="7FC0E50B">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1.柴油发电机未同期前,QF1、QF2不能同时合上。</w:t>
            </w:r>
          </w:p>
          <w:p w14:paraId="3F3F00CA">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2.自动化柴酒发电机组应具有以下功能：</w:t>
            </w:r>
          </w:p>
          <w:p w14:paraId="5717A1B4">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1)自动维持准备运行状态；</w:t>
            </w:r>
          </w:p>
          <w:p w14:paraId="6CC67000">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2)自启动；</w:t>
            </w:r>
          </w:p>
          <w:p w14:paraId="5C6CDBA5">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当电力系统电源中断时,单台机组应能自起动,并在15s内向负荷供电；当电力系统电源恢复正常后，应能手动或自动切换至电力系统电源，并向负荷供电。</w:t>
            </w:r>
          </w:p>
          <w:p w14:paraId="257404BB">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3)自动停机；</w:t>
            </w:r>
          </w:p>
          <w:p w14:paraId="248D16C1">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4)自动保护、报警、显示；</w:t>
            </w:r>
          </w:p>
          <w:p w14:paraId="3E325D8F">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5)自动补给燃油、机油、冷却水、机组启动用蓄电池自动充电；发电机组应能在机房就地启动、调速、停机。</w:t>
            </w:r>
          </w:p>
          <w:p w14:paraId="0D9409B5">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6)自动并车；</w:t>
            </w:r>
          </w:p>
          <w:p w14:paraId="5857BD19">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7)紧息停机；</w:t>
            </w:r>
          </w:p>
          <w:p w14:paraId="0080880E">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3.柴油发电机房设置2台150KW的无刷励磁闭式水冷柴油发电机组，额定电压为400/230V，功率因数0.8滞后，机组自带8小时的底座油箱。</w:t>
            </w:r>
          </w:p>
          <w:p w14:paraId="441F897A">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4.自动化机组应在电力系统电源中断时，能在15S内向负荷供电。</w:t>
            </w:r>
          </w:p>
          <w:p w14:paraId="2944030D">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5.隔室操作柜应能控制发电机组起动、调速、并机和停机(含紧急停机)。</w:t>
            </w:r>
          </w:p>
          <w:p w14:paraId="56DE5EE6">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隔室操作柜应能检测柴油机的油压、油温、水温、水压和转速。</w:t>
            </w:r>
          </w:p>
          <w:p w14:paraId="7B674475">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隔室操作柜应能控制和显示发电机房附属设备和通风方式的运行状态。</w:t>
            </w:r>
          </w:p>
          <w:p w14:paraId="67CBC744">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除并车装置外，隔室操作柜上仪表同机旁控制箱仪表，机旁控制箱为标配产品。</w:t>
            </w:r>
          </w:p>
          <w:p w14:paraId="22E7EA2A">
            <w:pPr>
              <w:pStyle w:val="2"/>
              <w:rPr>
                <w:rFonts w:hint="eastAsia" w:ascii="Arial" w:hAnsi="Arial" w:eastAsia="宋体" w:cs="Arial"/>
                <w:b/>
                <w:bCs/>
                <w:strike w:val="0"/>
                <w:dstrike w:val="0"/>
                <w:color w:val="auto"/>
                <w:kern w:val="0"/>
                <w:sz w:val="21"/>
                <w:szCs w:val="21"/>
                <w:highlight w:val="none"/>
                <w:lang w:val="en-US" w:eastAsia="zh-CN" w:bidi="ar-SA"/>
              </w:rPr>
            </w:pPr>
            <w:r>
              <w:rPr>
                <w:rFonts w:hint="eastAsia" w:ascii="Arial" w:hAnsi="Arial" w:eastAsia="宋体" w:cs="Arial"/>
                <w:b/>
                <w:bCs/>
                <w:strike w:val="0"/>
                <w:dstrike w:val="0"/>
                <w:color w:val="auto"/>
                <w:kern w:val="0"/>
                <w:sz w:val="21"/>
                <w:szCs w:val="21"/>
                <w:highlight w:val="none"/>
                <w:lang w:val="en-US" w:eastAsia="zh-CN" w:bidi="ar-SA"/>
              </w:rPr>
              <w:t>柴油发电机组选择计算：</w:t>
            </w:r>
          </w:p>
          <w:p w14:paraId="0D46BC9A">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1.总安装负荷Pe=383.1kW,计算负荷Pjs=245.3kW</w:t>
            </w:r>
          </w:p>
          <w:p w14:paraId="3DEC5530">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 xml:space="preserve"> 2.考虑10%的备用量，则，总计算负荷Pjs=270kW </w:t>
            </w:r>
          </w:p>
          <w:p w14:paraId="37501AEC">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 xml:space="preserve">3.考虑柴油发电机组的效率0.9，则柴油发电机组的功率为P=299kW </w:t>
            </w:r>
          </w:p>
          <w:p w14:paraId="41732075">
            <w:pPr>
              <w:pStyle w:val="2"/>
              <w:rPr>
                <w:rFonts w:hint="eastAsia" w:ascii="Arial" w:hAnsi="Arial" w:eastAsia="宋体" w:cs="Arial"/>
                <w:strike w:val="0"/>
                <w:dstrike w:val="0"/>
                <w:color w:val="auto"/>
                <w:kern w:val="0"/>
                <w:sz w:val="21"/>
                <w:szCs w:val="21"/>
                <w:highlight w:val="none"/>
                <w:lang w:val="en-US" w:eastAsia="zh-CN" w:bidi="ar-SA"/>
              </w:rPr>
            </w:pPr>
            <w:r>
              <w:rPr>
                <w:rFonts w:hint="eastAsia" w:ascii="Arial" w:hAnsi="Arial" w:eastAsia="宋体" w:cs="Arial"/>
                <w:strike w:val="0"/>
                <w:dstrike w:val="0"/>
                <w:color w:val="auto"/>
                <w:kern w:val="0"/>
                <w:sz w:val="21"/>
                <w:szCs w:val="21"/>
                <w:highlight w:val="none"/>
                <w:lang w:val="en-US" w:eastAsia="zh-CN" w:bidi="ar-SA"/>
              </w:rPr>
              <w:t>4.综上所述，故战时选择两合150kW移动式柴油发电机组。</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653ABE7D">
            <w:pPr>
              <w:pageBreakBefore w:val="0"/>
              <w:widowControl/>
              <w:kinsoku/>
              <w:overflowPunct/>
              <w:topLinePunct w:val="0"/>
              <w:bidi w:val="0"/>
              <w:adjustRightInd w:val="0"/>
              <w:snapToGrid w:val="0"/>
              <w:spacing w:line="420" w:lineRule="atLeast"/>
              <w:jc w:val="center"/>
              <w:textAlignment w:val="auto"/>
              <w:rPr>
                <w:rFonts w:hint="eastAsia" w:ascii="Arial" w:hAnsi="Arial" w:eastAsia="宋体" w:cs="Arial"/>
                <w:color w:val="auto"/>
                <w:kern w:val="0"/>
                <w:sz w:val="21"/>
                <w:szCs w:val="21"/>
                <w:highlight w:val="none"/>
                <w:lang w:val="en-US" w:eastAsia="zh-CN"/>
              </w:rPr>
            </w:pPr>
            <w:r>
              <w:rPr>
                <w:rFonts w:hint="eastAsia" w:ascii="Arial" w:hAnsi="Arial" w:cs="Arial"/>
                <w:color w:val="auto"/>
                <w:kern w:val="0"/>
                <w:sz w:val="21"/>
                <w:szCs w:val="21"/>
                <w:highlight w:val="none"/>
                <w:lang w:val="en-US" w:eastAsia="zh-CN"/>
              </w:rPr>
              <w:t>组</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0CDDEE63">
            <w:pPr>
              <w:pStyle w:val="13"/>
              <w:pageBreakBefore w:val="0"/>
              <w:kinsoku/>
              <w:overflowPunct/>
              <w:topLinePunct w:val="0"/>
              <w:bidi w:val="0"/>
              <w:adjustRightInd w:val="0"/>
              <w:snapToGrid w:val="0"/>
              <w:spacing w:line="420" w:lineRule="atLeast"/>
              <w:jc w:val="center"/>
              <w:textAlignment w:val="auto"/>
              <w:rPr>
                <w:rFonts w:hint="eastAsia" w:ascii="Arial" w:hAnsi="Arial" w:eastAsia="宋体" w:cs="Arial"/>
                <w:color w:val="auto"/>
                <w:kern w:val="0"/>
                <w:sz w:val="21"/>
                <w:szCs w:val="21"/>
                <w:highlight w:val="none"/>
                <w:lang w:val="en-US" w:eastAsia="zh-CN"/>
              </w:rPr>
            </w:pPr>
            <w:r>
              <w:rPr>
                <w:rFonts w:hint="eastAsia" w:ascii="Arial" w:hAnsi="Arial" w:cs="Arial"/>
                <w:color w:val="auto"/>
                <w:kern w:val="0"/>
                <w:sz w:val="21"/>
                <w:szCs w:val="21"/>
                <w:highlight w:val="none"/>
                <w:lang w:val="en-US" w:eastAsia="zh-CN"/>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C04C334">
            <w:pPr>
              <w:pStyle w:val="13"/>
              <w:pageBreakBefore w:val="0"/>
              <w:kinsoku/>
              <w:overflowPunct/>
              <w:topLinePunct w:val="0"/>
              <w:bidi w:val="0"/>
              <w:adjustRightInd w:val="0"/>
              <w:snapToGrid w:val="0"/>
              <w:spacing w:line="420" w:lineRule="atLeast"/>
              <w:jc w:val="left"/>
              <w:textAlignment w:val="auto"/>
              <w:rPr>
                <w:rFonts w:ascii="Arial" w:hAnsi="Arial" w:cs="Arial"/>
                <w:color w:val="auto"/>
                <w:kern w:val="0"/>
                <w:sz w:val="21"/>
                <w:szCs w:val="21"/>
                <w:highlight w:val="none"/>
              </w:rPr>
            </w:pPr>
          </w:p>
        </w:tc>
      </w:tr>
    </w:tbl>
    <w:p w14:paraId="4889AAC7">
      <w:pPr>
        <w:pageBreakBefore w:val="0"/>
        <w:widowControl/>
        <w:kinsoku/>
        <w:overflowPunct/>
        <w:topLinePunct w:val="0"/>
        <w:bidi w:val="0"/>
        <w:adjustRightInd w:val="0"/>
        <w:snapToGrid w:val="0"/>
        <w:spacing w:line="420" w:lineRule="atLeas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说明：1.供应商的响应文件必须标明所投货物的品牌与参数，保证原厂正品供货。</w:t>
      </w:r>
    </w:p>
    <w:p w14:paraId="69EA0DAD">
      <w:pPr>
        <w:pageBreakBefore w:val="0"/>
        <w:widowControl/>
        <w:kinsoku/>
        <w:overflowPunct/>
        <w:topLinePunct w:val="0"/>
        <w:bidi w:val="0"/>
        <w:adjustRightInd w:val="0"/>
        <w:snapToGrid w:val="0"/>
        <w:spacing w:line="420" w:lineRule="atLeas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2.所有技术参数及要求采购人验收时将逐条核对，如发现与实际情况不符、虚假响应等，采购人有权报监管部门并追究违约责任。</w:t>
      </w:r>
    </w:p>
    <w:p w14:paraId="06CAA785">
      <w:pPr>
        <w:pageBreakBefore w:val="0"/>
        <w:widowControl/>
        <w:kinsoku/>
        <w:overflowPunct/>
        <w:topLinePunct w:val="0"/>
        <w:bidi w:val="0"/>
        <w:adjustRightInd w:val="0"/>
        <w:snapToGrid w:val="0"/>
        <w:spacing w:line="420" w:lineRule="atLeast"/>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cs="Times New Roman"/>
          <w:color w:val="auto"/>
          <w:szCs w:val="21"/>
          <w:highlight w:val="none"/>
          <w:lang w:val="en-US" w:eastAsia="zh-CN"/>
        </w:rPr>
        <w:t>3.</w:t>
      </w:r>
      <w:bookmarkStart w:id="0" w:name="_Toc18721"/>
      <w:bookmarkStart w:id="1" w:name="_Toc3878"/>
      <w:r>
        <w:rPr>
          <w:rFonts w:hint="eastAsia" w:ascii="宋体" w:hAnsi="宋体" w:eastAsia="宋体" w:cs="Times New Roman"/>
          <w:color w:val="auto"/>
          <w:szCs w:val="21"/>
          <w:highlight w:val="none"/>
          <w:lang w:val="en-US" w:eastAsia="zh-CN"/>
        </w:rPr>
        <w:t>更多具体情况请供应商自行踏勘现场。</w:t>
      </w:r>
      <w:r>
        <w:rPr>
          <w:rFonts w:hint="eastAsia" w:ascii="宋体" w:hAnsi="宋体" w:eastAsia="宋体" w:cs="Times New Roman"/>
          <w:color w:val="auto"/>
          <w:szCs w:val="21"/>
          <w:highlight w:val="none"/>
          <w:lang w:val="en-US" w:eastAsia="zh-CN"/>
        </w:rPr>
        <w:br w:type="page"/>
      </w:r>
      <w:r>
        <w:rPr>
          <w:rFonts w:hint="eastAsia" w:ascii="宋体" w:hAnsi="宋体" w:eastAsia="宋体"/>
          <w:b/>
          <w:bCs/>
          <w:color w:val="auto"/>
          <w:sz w:val="21"/>
          <w:szCs w:val="21"/>
          <w:highlight w:val="none"/>
          <w:lang w:val="en-US" w:eastAsia="zh-CN"/>
        </w:rPr>
        <w:t>三、其他说明</w:t>
      </w:r>
    </w:p>
    <w:p w14:paraId="4A69ECFE">
      <w:pPr>
        <w:pStyle w:val="2"/>
        <w:ind w:firstLine="240" w:firstLineChars="100"/>
        <w:rPr>
          <w:rFonts w:hint="default"/>
          <w:lang w:val="en-US" w:eastAsia="zh-CN"/>
        </w:rPr>
      </w:pPr>
      <w:r>
        <w:rPr>
          <w:rFonts w:hint="eastAsia"/>
          <w:b w:val="0"/>
          <w:bCs w:val="0"/>
          <w:sz w:val="24"/>
          <w:szCs w:val="24"/>
          <w:lang w:val="en-US" w:eastAsia="zh-CN"/>
        </w:rPr>
        <w:t>当前已安装的有柴发并机柜两组以及发电机组出线柜，详见下图（图内配电柜均已安装完成）：</w:t>
      </w:r>
    </w:p>
    <w:p w14:paraId="6352B133">
      <w:pPr>
        <w:spacing w:line="360" w:lineRule="auto"/>
        <w:ind w:firstLine="437"/>
        <w:outlineLvl w:val="1"/>
        <w:rPr>
          <w:rFonts w:hint="eastAsia" w:ascii="宋体" w:hAnsi="宋体" w:eastAsia="宋体"/>
          <w:b/>
          <w:bCs/>
          <w:color w:val="auto"/>
          <w:sz w:val="21"/>
          <w:szCs w:val="21"/>
          <w:highlight w:val="none"/>
          <w:lang w:val="en-US" w:eastAsia="zh-CN"/>
        </w:rPr>
      </w:pPr>
      <w:r>
        <w:drawing>
          <wp:anchor distT="0" distB="0" distL="114300" distR="114300" simplePos="0" relativeHeight="251659264" behindDoc="0" locked="0" layoutInCell="1" allowOverlap="1">
            <wp:simplePos x="0" y="0"/>
            <wp:positionH relativeFrom="column">
              <wp:posOffset>-400050</wp:posOffset>
            </wp:positionH>
            <wp:positionV relativeFrom="paragraph">
              <wp:posOffset>29210</wp:posOffset>
            </wp:positionV>
            <wp:extent cx="6525260" cy="4149090"/>
            <wp:effectExtent l="0" t="0" r="889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525260" cy="4149090"/>
                    </a:xfrm>
                    <a:prstGeom prst="rect">
                      <a:avLst/>
                    </a:prstGeom>
                    <a:noFill/>
                    <a:ln>
                      <a:noFill/>
                    </a:ln>
                  </pic:spPr>
                </pic:pic>
              </a:graphicData>
            </a:graphic>
          </wp:anchor>
        </w:drawing>
      </w:r>
    </w:p>
    <w:p w14:paraId="5FBDFB5D">
      <w:pPr>
        <w:spacing w:line="360" w:lineRule="auto"/>
        <w:ind w:firstLine="437"/>
        <w:outlineLvl w:val="1"/>
        <w:rPr>
          <w:rFonts w:hint="eastAsia" w:ascii="宋体" w:hAnsi="宋体" w:eastAsia="宋体"/>
          <w:b/>
          <w:bCs/>
          <w:color w:val="auto"/>
          <w:sz w:val="21"/>
          <w:szCs w:val="21"/>
          <w:highlight w:val="none"/>
          <w:lang w:val="en-US" w:eastAsia="zh-CN"/>
        </w:rPr>
      </w:pPr>
    </w:p>
    <w:p w14:paraId="554651B9">
      <w:pPr>
        <w:spacing w:line="360" w:lineRule="auto"/>
        <w:ind w:firstLine="437"/>
        <w:outlineLvl w:val="1"/>
        <w:rPr>
          <w:rFonts w:hint="eastAsia" w:ascii="宋体" w:hAnsi="宋体" w:eastAsia="宋体"/>
          <w:b/>
          <w:bCs/>
          <w:color w:val="auto"/>
          <w:sz w:val="21"/>
          <w:szCs w:val="21"/>
          <w:highlight w:val="none"/>
          <w:lang w:val="en-US" w:eastAsia="zh-CN"/>
        </w:rPr>
      </w:pPr>
    </w:p>
    <w:p w14:paraId="38BE973C">
      <w:pPr>
        <w:spacing w:line="360" w:lineRule="auto"/>
        <w:ind w:firstLine="437"/>
        <w:outlineLvl w:val="1"/>
        <w:rPr>
          <w:rFonts w:hint="eastAsia" w:ascii="宋体" w:hAnsi="宋体" w:eastAsia="宋体"/>
          <w:b/>
          <w:bCs/>
          <w:color w:val="auto"/>
          <w:sz w:val="21"/>
          <w:szCs w:val="21"/>
          <w:highlight w:val="none"/>
          <w:lang w:val="en-US" w:eastAsia="zh-CN"/>
        </w:rPr>
      </w:pPr>
    </w:p>
    <w:p w14:paraId="0E7A74E7">
      <w:pPr>
        <w:spacing w:line="360" w:lineRule="auto"/>
        <w:ind w:firstLine="437"/>
        <w:outlineLvl w:val="1"/>
        <w:rPr>
          <w:rFonts w:hint="eastAsia" w:ascii="宋体" w:hAnsi="宋体" w:eastAsia="宋体"/>
          <w:b/>
          <w:bCs/>
          <w:color w:val="auto"/>
          <w:sz w:val="21"/>
          <w:szCs w:val="21"/>
          <w:highlight w:val="none"/>
          <w:lang w:val="en-US" w:eastAsia="zh-CN"/>
        </w:rPr>
      </w:pPr>
    </w:p>
    <w:p w14:paraId="1B1117F8">
      <w:pPr>
        <w:spacing w:line="360" w:lineRule="auto"/>
        <w:ind w:firstLine="437"/>
        <w:outlineLvl w:val="1"/>
        <w:rPr>
          <w:rFonts w:hint="eastAsia" w:ascii="宋体" w:hAnsi="宋体" w:eastAsia="宋体"/>
          <w:b/>
          <w:bCs/>
          <w:color w:val="auto"/>
          <w:sz w:val="21"/>
          <w:szCs w:val="21"/>
          <w:highlight w:val="none"/>
          <w:lang w:val="en-US" w:eastAsia="zh-CN"/>
        </w:rPr>
      </w:pPr>
    </w:p>
    <w:p w14:paraId="74EFE974">
      <w:pPr>
        <w:spacing w:line="360" w:lineRule="auto"/>
        <w:ind w:firstLine="437"/>
        <w:outlineLvl w:val="1"/>
        <w:rPr>
          <w:rFonts w:hint="eastAsia" w:ascii="宋体" w:hAnsi="宋体" w:eastAsia="宋体"/>
          <w:b/>
          <w:bCs/>
          <w:color w:val="auto"/>
          <w:sz w:val="21"/>
          <w:szCs w:val="21"/>
          <w:highlight w:val="none"/>
          <w:lang w:val="en-US" w:eastAsia="zh-CN"/>
        </w:rPr>
      </w:pPr>
    </w:p>
    <w:p w14:paraId="6172D4F2">
      <w:pPr>
        <w:spacing w:line="360" w:lineRule="auto"/>
        <w:ind w:firstLine="437"/>
        <w:outlineLvl w:val="1"/>
        <w:rPr>
          <w:rFonts w:hint="eastAsia" w:ascii="宋体" w:hAnsi="宋体" w:eastAsia="宋体"/>
          <w:b/>
          <w:bCs/>
          <w:color w:val="auto"/>
          <w:sz w:val="21"/>
          <w:szCs w:val="21"/>
          <w:highlight w:val="none"/>
          <w:lang w:val="en-US" w:eastAsia="zh-CN"/>
        </w:rPr>
      </w:pPr>
    </w:p>
    <w:p w14:paraId="6A8543D2">
      <w:pPr>
        <w:spacing w:line="360" w:lineRule="auto"/>
        <w:ind w:firstLine="437"/>
        <w:outlineLvl w:val="1"/>
        <w:rPr>
          <w:rFonts w:hint="eastAsia" w:ascii="宋体" w:hAnsi="宋体" w:eastAsia="宋体"/>
          <w:b/>
          <w:bCs/>
          <w:color w:val="auto"/>
          <w:sz w:val="21"/>
          <w:szCs w:val="21"/>
          <w:highlight w:val="none"/>
          <w:lang w:val="en-US" w:eastAsia="zh-CN"/>
        </w:rPr>
      </w:pPr>
    </w:p>
    <w:p w14:paraId="6D4AAF68">
      <w:pPr>
        <w:spacing w:line="360" w:lineRule="auto"/>
        <w:ind w:firstLine="437"/>
        <w:outlineLvl w:val="1"/>
        <w:rPr>
          <w:rFonts w:hint="eastAsia" w:ascii="宋体" w:hAnsi="宋体" w:eastAsia="宋体"/>
          <w:b/>
          <w:bCs/>
          <w:color w:val="auto"/>
          <w:sz w:val="21"/>
          <w:szCs w:val="21"/>
          <w:highlight w:val="none"/>
          <w:lang w:val="en-US" w:eastAsia="zh-CN"/>
        </w:rPr>
      </w:pPr>
    </w:p>
    <w:p w14:paraId="4D350C39">
      <w:pPr>
        <w:spacing w:line="360" w:lineRule="auto"/>
        <w:ind w:firstLine="437"/>
        <w:outlineLvl w:val="1"/>
        <w:rPr>
          <w:rFonts w:hint="eastAsia" w:ascii="宋体" w:hAnsi="宋体" w:eastAsia="宋体"/>
          <w:b/>
          <w:bCs/>
          <w:color w:val="auto"/>
          <w:sz w:val="21"/>
          <w:szCs w:val="21"/>
          <w:highlight w:val="none"/>
          <w:lang w:val="en-US" w:eastAsia="zh-CN"/>
        </w:rPr>
      </w:pPr>
    </w:p>
    <w:p w14:paraId="35A7750D">
      <w:pPr>
        <w:spacing w:line="360" w:lineRule="auto"/>
        <w:ind w:firstLine="437"/>
        <w:outlineLvl w:val="1"/>
        <w:rPr>
          <w:rFonts w:hint="eastAsia" w:ascii="宋体" w:hAnsi="宋体" w:eastAsia="宋体"/>
          <w:b/>
          <w:bCs/>
          <w:color w:val="auto"/>
          <w:sz w:val="21"/>
          <w:szCs w:val="21"/>
          <w:highlight w:val="none"/>
          <w:lang w:val="en-US" w:eastAsia="zh-CN"/>
        </w:rPr>
      </w:pPr>
    </w:p>
    <w:p w14:paraId="7BE5E48C">
      <w:pPr>
        <w:spacing w:line="360" w:lineRule="auto"/>
        <w:ind w:firstLine="211" w:firstLineChars="100"/>
        <w:outlineLvl w:val="1"/>
        <w:rPr>
          <w:rFonts w:hint="eastAsia" w:ascii="宋体" w:hAnsi="宋体" w:eastAsia="宋体"/>
          <w:b/>
          <w:bCs/>
          <w:color w:val="auto"/>
          <w:sz w:val="21"/>
          <w:szCs w:val="21"/>
          <w:highlight w:val="none"/>
          <w:lang w:val="en-US" w:eastAsia="zh-CN"/>
        </w:rPr>
      </w:pPr>
    </w:p>
    <w:p w14:paraId="7DE0C8EA">
      <w:pPr>
        <w:spacing w:line="360" w:lineRule="auto"/>
        <w:ind w:firstLine="211" w:firstLineChars="100"/>
        <w:outlineLvl w:val="1"/>
        <w:rPr>
          <w:rFonts w:hint="eastAsia" w:ascii="宋体" w:hAnsi="宋体" w:eastAsia="宋体"/>
          <w:b/>
          <w:bCs/>
          <w:color w:val="auto"/>
          <w:sz w:val="21"/>
          <w:szCs w:val="21"/>
          <w:highlight w:val="none"/>
          <w:lang w:val="en-US" w:eastAsia="zh-CN"/>
        </w:rPr>
      </w:pPr>
    </w:p>
    <w:p w14:paraId="61D6B7B8">
      <w:pPr>
        <w:spacing w:line="360" w:lineRule="auto"/>
        <w:ind w:firstLine="211" w:firstLineChars="100"/>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四</w:t>
      </w:r>
      <w:r>
        <w:rPr>
          <w:rFonts w:hint="eastAsia" w:ascii="宋体" w:hAnsi="宋体" w:eastAsia="宋体"/>
          <w:b/>
          <w:bCs/>
          <w:color w:val="auto"/>
          <w:sz w:val="21"/>
          <w:szCs w:val="21"/>
          <w:highlight w:val="none"/>
        </w:rPr>
        <w:t>、其他要求</w:t>
      </w:r>
      <w:bookmarkEnd w:id="0"/>
      <w:bookmarkEnd w:id="1"/>
    </w:p>
    <w:p w14:paraId="23084FA1">
      <w:pPr>
        <w:spacing w:line="360" w:lineRule="auto"/>
        <w:ind w:firstLine="437"/>
        <w:rPr>
          <w:rFonts w:hint="eastAsia" w:ascii="宋体" w:hAnsi="宋体"/>
          <w:color w:val="auto"/>
          <w:sz w:val="21"/>
          <w:szCs w:val="21"/>
          <w:highlight w:val="none"/>
        </w:rPr>
      </w:pPr>
      <w:r>
        <w:rPr>
          <w:rFonts w:hint="eastAsia" w:ascii="宋体" w:hAnsi="宋体"/>
          <w:color w:val="auto"/>
          <w:sz w:val="21"/>
          <w:szCs w:val="21"/>
          <w:highlight w:val="none"/>
          <w:lang w:val="en-US" w:eastAsia="zh-CN"/>
        </w:rPr>
        <w:t>1.人员培训要求：</w:t>
      </w:r>
      <w:r>
        <w:rPr>
          <w:rFonts w:hint="eastAsia" w:ascii="宋体" w:hAnsi="宋体"/>
          <w:color w:val="auto"/>
          <w:sz w:val="21"/>
          <w:szCs w:val="21"/>
          <w:highlight w:val="none"/>
        </w:rPr>
        <w:t>货物安装、调试、验收合格后，</w:t>
      </w:r>
      <w:r>
        <w:rPr>
          <w:rFonts w:hint="eastAsia" w:ascii="宋体" w:hAnsi="宋体"/>
          <w:color w:val="auto"/>
          <w:sz w:val="21"/>
          <w:szCs w:val="21"/>
          <w:highlight w:val="none"/>
          <w:lang w:val="en-US" w:eastAsia="zh-CN"/>
        </w:rPr>
        <w:t>成交人</w:t>
      </w:r>
      <w:r>
        <w:rPr>
          <w:rFonts w:hint="eastAsia" w:ascii="宋体" w:hAnsi="宋体"/>
          <w:color w:val="auto"/>
          <w:sz w:val="21"/>
          <w:szCs w:val="21"/>
          <w:highlight w:val="none"/>
        </w:rPr>
        <w:t>应对采购人的相关人员进行免费现场培训。培训内容包括基本操作、保养维修、常见故障及解决办法等。</w:t>
      </w:r>
    </w:p>
    <w:p w14:paraId="6A2FB547">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人提供的货物必须是全新、原装、合格正品，完全符合国家规定的质量标准和厂方的标准。货物完好，配件齐全。</w:t>
      </w:r>
    </w:p>
    <w:p w14:paraId="2C03CD6A">
      <w:pPr>
        <w:pageBreakBefore w:val="0"/>
        <w:widowControl/>
        <w:kinsoku/>
        <w:overflowPunct/>
        <w:topLinePunct w:val="0"/>
        <w:bidi w:val="0"/>
        <w:adjustRightInd w:val="0"/>
        <w:snapToGrid w:val="0"/>
        <w:spacing w:line="420" w:lineRule="atLeast"/>
        <w:ind w:firstLine="42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保修及售后服务：依据商品的保修条款及售后服务条款，提供原厂质保，质保期按照国家规定，且不低于所供品牌向用户承诺的质保期限，</w:t>
      </w:r>
      <w:r>
        <w:rPr>
          <w:rFonts w:hint="eastAsia" w:ascii="宋体" w:hAnsi="宋体"/>
          <w:color w:val="auto"/>
          <w:sz w:val="21"/>
          <w:szCs w:val="21"/>
          <w:highlight w:val="none"/>
          <w:lang w:eastAsia="zh-CN"/>
        </w:rPr>
        <w:t>谈判 文件</w:t>
      </w:r>
      <w:r>
        <w:rPr>
          <w:rFonts w:hint="eastAsia" w:ascii="宋体" w:hAnsi="宋体"/>
          <w:color w:val="auto"/>
          <w:sz w:val="21"/>
          <w:szCs w:val="21"/>
          <w:highlight w:val="none"/>
        </w:rPr>
        <w:t>另有约定的从其约定。质保期从货物验收合格后算起。</w:t>
      </w:r>
      <w:bookmarkStart w:id="2" w:name="_Toc20462"/>
      <w:bookmarkStart w:id="3" w:name="_Toc12838"/>
    </w:p>
    <w:p w14:paraId="7216ED8E">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val="0"/>
          <w:bCs w:val="0"/>
          <w:color w:val="auto"/>
          <w:sz w:val="21"/>
          <w:szCs w:val="21"/>
          <w:highlight w:val="none"/>
          <w:lang w:val="en-US" w:eastAsia="zh-CN"/>
        </w:rPr>
        <w:t>4.验收：</w:t>
      </w:r>
      <w:r>
        <w:rPr>
          <w:rFonts w:hint="eastAsia" w:ascii="宋体" w:hAnsi="宋体" w:eastAsia="宋体"/>
          <w:color w:val="auto"/>
          <w:sz w:val="21"/>
          <w:szCs w:val="21"/>
          <w:highlight w:val="none"/>
          <w:lang w:val="en-US" w:eastAsia="zh-CN"/>
        </w:rPr>
        <w:t>成交</w:t>
      </w:r>
      <w:r>
        <w:rPr>
          <w:rFonts w:hint="eastAsia" w:ascii="宋体" w:hAnsi="宋体"/>
          <w:color w:val="auto"/>
          <w:sz w:val="21"/>
          <w:szCs w:val="21"/>
          <w:highlight w:val="none"/>
        </w:rPr>
        <w:t>人和采购人双方共同实施验收工作，结果和验收报告经双方确认后生效</w:t>
      </w:r>
      <w:r>
        <w:rPr>
          <w:rFonts w:hint="eastAsia" w:ascii="宋体" w:hAnsi="宋体"/>
          <w:color w:val="auto"/>
          <w:sz w:val="21"/>
          <w:szCs w:val="21"/>
          <w:highlight w:val="none"/>
          <w:lang w:eastAsia="zh-CN"/>
        </w:rPr>
        <w:t>。</w:t>
      </w:r>
    </w:p>
    <w:bookmarkEnd w:id="2"/>
    <w:bookmarkEnd w:id="3"/>
    <w:p w14:paraId="7234319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01F4A"/>
    <w:rsid w:val="2D70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customStyle="1" w:styleId="10">
    <w:name w:val="正文 New"/>
    <w:basedOn w:val="1"/>
    <w:qFormat/>
    <w:uiPriority w:val="0"/>
    <w:pPr>
      <w:spacing w:before="100" w:beforeAutospacing="1" w:after="100" w:afterAutospacing="1" w:line="440" w:lineRule="exact"/>
      <w:ind w:left="357" w:hanging="357"/>
    </w:pPr>
    <w:rPr>
      <w:szCs w:val="21"/>
    </w:rPr>
  </w:style>
  <w:style w:type="paragraph" w:customStyle="1" w:styleId="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
    <w:name w:val="列出段落1"/>
    <w:basedOn w:val="1"/>
    <w:qFormat/>
    <w:uiPriority w:val="0"/>
    <w:pPr>
      <w:ind w:firstLine="420" w:firstLineChars="200"/>
    </w:pPr>
    <w:rPr>
      <w:szCs w:val="21"/>
    </w:rPr>
  </w:style>
  <w:style w:type="paragraph" w:customStyle="1" w:styleId="13">
    <w:name w:val="无间隔1"/>
    <w:basedOn w:val="1"/>
    <w:qFormat/>
    <w:uiPriority w:val="1"/>
    <w:pPr>
      <w:widowControl/>
      <w:jc w:val="left"/>
    </w:pPr>
    <w:rPr>
      <w:rFonts w:ascii="Calibri" w:hAnsi="Calibri" w:eastAsia="宋体"/>
      <w:kern w:val="0"/>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2025-06-11T01:33:00Z</dcterms:created>
  <dc:creator>BLUE</dc:creator>
  <cp:lastModifiedBy>BLUE</cp:lastModifiedBy>
  <dcterms:modified xsi:type="dcterms:W3CDTF">2025-06-11T01:35:40Z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C32AA96ABABB4CAA96DE2FF9C27417F2_11</vt:lpwstr>
  </property>
  <property fmtid="{D5CDD505-2E9C-101B-9397-08002B2CF9AE}" pid="4" name="KSOTemplateDocerSaveRecord">
    <vt:lpwstr>eyJoZGlkIjoiYTJjYjZjNWUwNmUwOTY3ZTE3YzZhZmNmOWMyOGYxNTgiLCJ1c2VySWQiOiI2MzQ3MTk0ODQifQ==</vt:lpwstr>
  </property>
</Properties>
</file>