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5F95C">
      <w:pPr>
        <w:pStyle w:val="5"/>
        <w:numPr>
          <w:ilvl w:val="0"/>
          <w:numId w:val="0"/>
        </w:numPr>
        <w:ind w:leftChars="0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采购需求</w:t>
      </w:r>
    </w:p>
    <w:p w14:paraId="5E6583B7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3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</w:pPr>
      <w:bookmarkStart w:id="0" w:name="bookmark47"/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highlight w:val="none"/>
        </w:rPr>
        <w:t>为鼓励不同品牌的充分竞争，如某设备的某技术参数或要求属于个别品牌专有，则该技术参数及要求不具有限制性，投标人可对该参数或要求进行适当调整，但这种调整整体上要优于或相当于招标文件的相关要求，并说明调整理由，且该调整须经评委会审核认可。</w:t>
      </w:r>
    </w:p>
    <w:p w14:paraId="06267648">
      <w:pPr>
        <w:pageBreakBefore w:val="0"/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ar-SA"/>
        </w:rPr>
        <w:t>一、商务要求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546"/>
        <w:gridCol w:w="5264"/>
      </w:tblGrid>
      <w:tr w14:paraId="67A6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5E7D4534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94" w:type="pct"/>
            <w:noWrap w:val="0"/>
            <w:vAlign w:val="center"/>
          </w:tcPr>
          <w:p w14:paraId="5419B4ED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商务条款名称</w:t>
            </w:r>
          </w:p>
        </w:tc>
        <w:tc>
          <w:tcPr>
            <w:tcW w:w="3089" w:type="pct"/>
            <w:noWrap w:val="0"/>
            <w:vAlign w:val="center"/>
          </w:tcPr>
          <w:p w14:paraId="2208C31D">
            <w:pPr>
              <w:pStyle w:val="7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具体要求内容</w:t>
            </w:r>
          </w:p>
        </w:tc>
      </w:tr>
      <w:tr w14:paraId="112DD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4C9D6807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94" w:type="pct"/>
            <w:noWrap w:val="0"/>
            <w:vAlign w:val="center"/>
          </w:tcPr>
          <w:p w14:paraId="3F48112A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付款方式</w:t>
            </w:r>
          </w:p>
        </w:tc>
        <w:tc>
          <w:tcPr>
            <w:tcW w:w="3089" w:type="pct"/>
            <w:noWrap w:val="0"/>
            <w:vAlign w:val="center"/>
          </w:tcPr>
          <w:p w14:paraId="622A3E49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使用六个月后付款。中标人出具正规发票。</w:t>
            </w:r>
          </w:p>
        </w:tc>
      </w:tr>
      <w:tr w14:paraId="45CD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30C160BB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94" w:type="pct"/>
            <w:noWrap w:val="0"/>
            <w:vAlign w:val="center"/>
          </w:tcPr>
          <w:p w14:paraId="6A965A7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供货及安装地点</w:t>
            </w:r>
          </w:p>
        </w:tc>
        <w:tc>
          <w:tcPr>
            <w:tcW w:w="3089" w:type="pct"/>
            <w:noWrap w:val="0"/>
            <w:vAlign w:val="center"/>
          </w:tcPr>
          <w:p w14:paraId="0A0E7EE4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安庆市第二人民医院泌尿外科</w:t>
            </w:r>
          </w:p>
        </w:tc>
      </w:tr>
      <w:tr w14:paraId="4588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415" w:type="pct"/>
            <w:noWrap w:val="0"/>
            <w:vAlign w:val="center"/>
          </w:tcPr>
          <w:p w14:paraId="3CF683F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94" w:type="pct"/>
            <w:noWrap w:val="0"/>
            <w:vAlign w:val="center"/>
          </w:tcPr>
          <w:p w14:paraId="1319E59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交货、安装、调试期</w:t>
            </w:r>
          </w:p>
          <w:p w14:paraId="4261384C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（即合同履行期限）</w:t>
            </w:r>
          </w:p>
        </w:tc>
        <w:tc>
          <w:tcPr>
            <w:tcW w:w="3089" w:type="pct"/>
            <w:noWrap w:val="0"/>
            <w:vAlign w:val="center"/>
          </w:tcPr>
          <w:p w14:paraId="3AE7F1A0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供货期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合同签订之日起三年或采购费用总额达到该本项目总中标价时，以先到者为准，在供货期内按照采购人的要求分批供货，据实结算。</w:t>
            </w:r>
          </w:p>
        </w:tc>
      </w:tr>
    </w:tbl>
    <w:p w14:paraId="61C7ED99">
      <w:pPr>
        <w:pStyle w:val="6"/>
        <w:pageBreakBefore w:val="0"/>
        <w:numPr>
          <w:ilvl w:val="0"/>
          <w:numId w:val="0"/>
        </w:numPr>
        <w:kinsoku/>
        <w:overflowPunct/>
        <w:topLinePunct w:val="0"/>
        <w:bidi w:val="0"/>
        <w:snapToGrid/>
        <w:spacing w:line="420" w:lineRule="exact"/>
        <w:ind w:firstLine="422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</w:rPr>
      </w:pPr>
      <w:bookmarkStart w:id="1" w:name="_Toc22728"/>
      <w:bookmarkStart w:id="2" w:name="_Toc20068"/>
      <w:bookmarkStart w:id="3" w:name="_Toc490682725"/>
      <w:bookmarkStart w:id="4" w:name="_Toc10379"/>
      <w:r>
        <w:rPr>
          <w:rFonts w:hint="eastAsia" w:ascii="宋体" w:hAnsi="宋体" w:eastAsia="宋体" w:cs="宋体"/>
          <w:bCs/>
          <w:color w:val="auto"/>
          <w:sz w:val="21"/>
          <w:szCs w:val="21"/>
          <w:highlight w:val="none"/>
          <w:lang w:val="en-US" w:eastAsia="zh-CN"/>
        </w:rPr>
        <w:t>二、货物需求技术要求</w:t>
      </w:r>
      <w:bookmarkEnd w:id="1"/>
      <w:bookmarkEnd w:id="2"/>
      <w:bookmarkEnd w:id="3"/>
      <w:bookmarkEnd w:id="4"/>
      <w:r>
        <w:rPr>
          <w:rFonts w:hint="eastAsia" w:hAnsi="宋体" w:cs="宋体"/>
          <w:b/>
          <w:bCs/>
          <w:color w:val="auto"/>
          <w:sz w:val="21"/>
          <w:szCs w:val="21"/>
          <w:highlight w:val="none"/>
          <w:lang w:eastAsia="zh-CN"/>
        </w:rPr>
        <w:t>：</w:t>
      </w:r>
      <w:bookmarkStart w:id="20" w:name="_GoBack"/>
      <w:bookmarkEnd w:id="20"/>
    </w:p>
    <w:tbl>
      <w:tblPr>
        <w:tblStyle w:val="8"/>
        <w:tblW w:w="51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774"/>
        <w:gridCol w:w="4621"/>
        <w:gridCol w:w="633"/>
        <w:gridCol w:w="728"/>
        <w:gridCol w:w="926"/>
        <w:gridCol w:w="577"/>
      </w:tblGrid>
      <w:tr w14:paraId="4587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8033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bookmarkStart w:id="5" w:name="_Toc490682726"/>
            <w:bookmarkStart w:id="6" w:name="_Toc4579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621B7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货物名称</w:t>
            </w:r>
          </w:p>
        </w:tc>
        <w:tc>
          <w:tcPr>
            <w:tcW w:w="2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E9D2A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招标技术参数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569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B72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预计三年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数量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23848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单价限价</w:t>
            </w:r>
          </w:p>
          <w:p w14:paraId="25315D1B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（元）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C30A6">
            <w:pPr>
              <w:pageBreakBefore w:val="0"/>
              <w:widowControl/>
              <w:kinsoku/>
              <w:overflowPunct/>
              <w:topLinePunct w:val="0"/>
              <w:bidi w:val="0"/>
              <w:snapToGrid/>
              <w:spacing w:line="4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</w:tr>
      <w:tr w14:paraId="54B8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6C3C6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ED2C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一</w:t>
            </w:r>
          </w:p>
          <w:p w14:paraId="48E72F1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次</w:t>
            </w:r>
          </w:p>
          <w:p w14:paraId="4F54A3D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性</w:t>
            </w:r>
          </w:p>
          <w:p w14:paraId="7AC9B0C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使</w:t>
            </w:r>
          </w:p>
          <w:p w14:paraId="48FB906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用</w:t>
            </w:r>
          </w:p>
          <w:p w14:paraId="420FCAC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包</w:t>
            </w:r>
          </w:p>
          <w:p w14:paraId="38B3E83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皮</w:t>
            </w:r>
          </w:p>
          <w:p w14:paraId="16654E4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吻</w:t>
            </w:r>
          </w:p>
          <w:p w14:paraId="561C0CF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合</w:t>
            </w:r>
          </w:p>
          <w:p w14:paraId="7E5F148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器</w:t>
            </w:r>
          </w:p>
        </w:tc>
        <w:tc>
          <w:tcPr>
            <w:tcW w:w="2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40ECB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1、一次性使用包皮切割吻合器主要由龟头罩、保护盖、硅胶垫、钉仓套、活动手柄、保险、推动块、手柄连接件、中间套 、调节螺母、钉仓、环形刀和吻合钉组成。产品外形可分为2种型号，每种型号根据环形刀的外径不同可分为10种规格，能满足所有包皮切割缝合术。</w:t>
            </w:r>
          </w:p>
          <w:p w14:paraId="7D2D3645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2、产品龟头罩主要由06Cr19Ni10（304）不锈钢制成，强度高，成型稳定；</w:t>
            </w:r>
          </w:p>
          <w:p w14:paraId="18CE621A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3、可断式硅胶垫设计，有效提高结痂后吻合钉的脱落速度，缝合后止血效果更好。</w:t>
            </w:r>
          </w:p>
          <w:p w14:paraId="0DCFDCB9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4、外观: 蝶形双手柄</w:t>
            </w:r>
          </w:p>
          <w:p w14:paraId="7C5F91F0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组成: 产品主要由龟头罩、保护盖、硅胶垫、钉仓套、活动手柄、保险、推动块、手柄连接件、中间套 、调节螺母、钉仓、环形刀和吻合钉组成。</w:t>
            </w:r>
          </w:p>
          <w:p w14:paraId="3A8D072B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环形刀  06Cr19Ni10（ 304）不锈钢</w:t>
            </w:r>
          </w:p>
          <w:p w14:paraId="4CF3259C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缝合钉 022Cr18Ni14Mo3（316L）不锈钢</w:t>
            </w:r>
          </w:p>
          <w:p w14:paraId="039ABC7F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龟头罩 ABS塑料+06Cr19Ni10（ 304）不锈钢</w:t>
            </w:r>
          </w:p>
          <w:p w14:paraId="66A30312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5、钉仓  ABS塑料</w:t>
            </w:r>
          </w:p>
          <w:p w14:paraId="78DFA5EE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活动手柄 PA塑料</w:t>
            </w:r>
          </w:p>
          <w:p w14:paraId="3656E44B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调节螺母 PA塑料</w:t>
            </w:r>
          </w:p>
          <w:p w14:paraId="3AD1C11C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保护盖ABS塑料</w:t>
            </w:r>
          </w:p>
          <w:p w14:paraId="1E59A8BD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6、器械缝合钉应有带橡胶圈和不带胶圈两种型号，并且该器械能够在手术前取出橡胶圈后正常使用。方便不同需求的病人。</w:t>
            </w:r>
          </w:p>
          <w:p w14:paraId="2EBF80F0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7、特征：缝合钉应该采取顶部宽而钉脚细的异型钉形式，如带胶圈的器械应能满足切割时自动断开。不需要在术后另外剪开。</w:t>
            </w:r>
          </w:p>
          <w:p w14:paraId="0FCE6B3D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8、一次性包皮切割吻合器经环氧乙烷灭菌，一次性无菌独立包装。</w:t>
            </w:r>
          </w:p>
          <w:p w14:paraId="28B475A8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9、最大型号应满足直径34mm阴茎，最小型号应满足直径11mm阴茎。</w:t>
            </w:r>
          </w:p>
          <w:p w14:paraId="49B9795C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10、产品有效期应至少为三年。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C1A0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CD90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56F4">
            <w:pPr>
              <w:pStyle w:val="10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B2068">
            <w:pPr>
              <w:pStyle w:val="10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33EB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1387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73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一次性膀胱镜</w:t>
            </w:r>
          </w:p>
        </w:tc>
        <w:tc>
          <w:tcPr>
            <w:tcW w:w="2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B7B6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1、产品标记：工作长度不小于400 mm。</w:t>
            </w:r>
          </w:p>
          <w:p w14:paraId="72CA8224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2、注水通道：送水量不小于40mL/min，具有独立的注水吸引通道。</w:t>
            </w:r>
          </w:p>
          <w:p w14:paraId="293D4933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3、一体式三通阀，鲁尔器械嘴与三通阀整合，提高器械的通过性。</w:t>
            </w:r>
          </w:p>
          <w:p w14:paraId="446DF661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4、吸引通道：在70Kpa吸引力下，吸引量不小于100mL/min。吸引按钮掀动自如，无卡住现象。吸引按钮结构密封性好，有效防止液体倒喷现象，具有独立的注水吸引通道。</w:t>
            </w:r>
          </w:p>
          <w:p w14:paraId="0498BA9E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5、工作孔道内径 ≥2.2mm，有需要时，器械（活检钳等）能使用独立的器械通道，弯曲角度在 0～60°时，器械（活检钳）能顺利进出头端部的器械通道口。</w:t>
            </w:r>
          </w:p>
          <w:p w14:paraId="21AD69AC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6、主软管外径 ≤5.1mm</w:t>
            </w:r>
          </w:p>
          <w:p w14:paraId="742FC233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7、★弯曲部弯曲角度向上≥210°向下≥210°。</w:t>
            </w:r>
          </w:p>
          <w:p w14:paraId="04C8B9B6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8、镜头像素：720×1280</w:t>
            </w:r>
          </w:p>
          <w:p w14:paraId="1158F87E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9、视场角：110°偏差：±15%</w:t>
            </w:r>
          </w:p>
          <w:p w14:paraId="1A941E36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观察景深：3～100mm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3C22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720F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21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1800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F8D95">
            <w:pPr>
              <w:pStyle w:val="10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ED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F2AF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7C0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一次性使用内镜抓钳</w:t>
            </w:r>
          </w:p>
        </w:tc>
        <w:tc>
          <w:tcPr>
            <w:tcW w:w="2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C988"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1、包装要求：灭菌包装；</w:t>
            </w:r>
          </w:p>
          <w:p w14:paraId="7C82B043"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2、结构及组成要求：由指环、滑动把手、手柄、导管、弹簧管/包塑弹簧管、导向管、牵引绳、润滑管、钳子杯等组成。</w:t>
            </w:r>
          </w:p>
          <w:p w14:paraId="2D642B01"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3、适用范围：用于软性内窥镜钳道钳取活体组织。</w:t>
            </w:r>
          </w:p>
          <w:p w14:paraId="3D33DFA1"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4、钳子杯光滑，刃口或齿口完整、锐利。钳头闭合时头端至二分之一处吻合，不得有明显偏歪。</w:t>
            </w:r>
          </w:p>
          <w:p w14:paraId="4AAB3BED">
            <w:pPr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  <w:t>5、工作长度≤600mm，钳头形状：平口或齿形插入端直径≤1.8mm。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BBF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C5AA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27FA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A650">
            <w:pPr>
              <w:pStyle w:val="10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F5E8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AB72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8D27A">
            <w:pPr>
              <w:snapToGrid w:val="0"/>
              <w:spacing w:line="24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一次性使用扩张球囊</w:t>
            </w:r>
          </w:p>
        </w:tc>
        <w:tc>
          <w:tcPr>
            <w:tcW w:w="2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50246"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球囊为非顺应性球囊，扩过程中输尿管璧受力均匀，创伤小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。</w:t>
            </w:r>
          </w:p>
          <w:p w14:paraId="032852AD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球囊为高耐压材料，最大安全压力值20atm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。</w:t>
            </w:r>
          </w:p>
          <w:p w14:paraId="63F6DFA6">
            <w:pPr>
              <w:snapToGrid w:val="0"/>
              <w:spacing w:line="240" w:lineRule="auto"/>
              <w:jc w:val="left"/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球囊表面亲水涂层，通过性好并保护输尿管,并可反复扩张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。</w:t>
            </w:r>
          </w:p>
          <w:p w14:paraId="63F1F671"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仿宋" w:hAnsi="仿宋" w:eastAsia="仿宋" w:cs="Times New Roman"/>
                <w:sz w:val="21"/>
                <w:szCs w:val="21"/>
                <w:lang w:val="en-US" w:eastAsia="zh-CN"/>
              </w:rPr>
              <w:t>球囊两端金属钽标记，X线下显影；囊体透明，直视下扩张实时观察</w:t>
            </w: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B25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4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99F20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8DD8"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>2200</w:t>
            </w: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D058">
            <w:pPr>
              <w:pStyle w:val="10"/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FF1B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84F36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说明：</w:t>
            </w:r>
          </w:p>
          <w:p w14:paraId="5A44FF5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1、投标人的投标文件必须标明所供货物的品牌与参数，保证原厂正品供货，提供相关资料等，如为进口产品需在备注栏标明进口。</w:t>
            </w:r>
          </w:p>
          <w:p w14:paraId="5564C2B5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2、以上技术参数★项，还需提供技术证明文件之一（医疗器械注册证、医疗器械注册登记表、第三方检测报告、产品技术白皮书、产品使用说明书）予以证明。</w:t>
            </w:r>
          </w:p>
          <w:p w14:paraId="7839311F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3、属于集采平台目录内的产品,必须满足两票制和安徽省医药集中采购中心平台价格上传有关要求，并在平台配送，如供货价格高于集采平台价格，则按集采平台价格进行供货。</w:t>
            </w:r>
          </w:p>
          <w:p w14:paraId="0C7EC038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4、本表中的“数量”为预计三年使用量，仅供投标人报价时参考。</w:t>
            </w:r>
          </w:p>
          <w:p w14:paraId="5115CC82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5、必须满足招标人医院耗材精细化管理的要求(服务费率：供货金额的2%)。服务期内如遇国家、省、市医保带量采购等相关政策调整，按国家、省、市医保带量采购等相关政策执行。</w:t>
            </w:r>
          </w:p>
          <w:p w14:paraId="3074A1FD">
            <w:pPr>
              <w:pageBreakBefore w:val="0"/>
              <w:kinsoku/>
              <w:overflowPunct/>
              <w:topLinePunct w:val="0"/>
              <w:bidi w:val="0"/>
              <w:snapToGrid/>
              <w:spacing w:line="4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6、合同履行的过程中，如因安徽省医药集中采购中心平台限价降低导致价格低于合同价，中标人须主动将所供产品价格降为平台以下价格。如因主管部门等政府行为需要重新招标时，合同自动终止。</w:t>
            </w:r>
          </w:p>
        </w:tc>
      </w:tr>
    </w:tbl>
    <w:p w14:paraId="778B0C75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7" w:name="_Toc27256"/>
      <w:bookmarkStart w:id="8" w:name="_Toc18393"/>
      <w:bookmarkStart w:id="9" w:name="_Toc27108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、人员培训要求</w:t>
      </w:r>
      <w:bookmarkEnd w:id="5"/>
      <w:bookmarkEnd w:id="6"/>
      <w:bookmarkEnd w:id="7"/>
      <w:bookmarkEnd w:id="8"/>
      <w:bookmarkEnd w:id="9"/>
    </w:p>
    <w:p w14:paraId="137E81F7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货物安装、调试、验收合格后，中标人应对招标人的相关人员进行免费现场培训。培训内容包括基本操作、保养维修、常见故障及解决办法等。</w:t>
      </w:r>
    </w:p>
    <w:p w14:paraId="7A62D636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0" w:name="_Toc21193"/>
      <w:bookmarkStart w:id="11" w:name="_Toc490682727"/>
      <w:bookmarkStart w:id="12" w:name="_Toc3184"/>
      <w:bookmarkStart w:id="13" w:name="_Toc18380"/>
      <w:bookmarkStart w:id="14" w:name="_Toc17601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、货物质量及售后服务要求</w:t>
      </w:r>
      <w:bookmarkEnd w:id="10"/>
      <w:bookmarkEnd w:id="11"/>
      <w:bookmarkEnd w:id="12"/>
      <w:bookmarkEnd w:id="13"/>
      <w:bookmarkEnd w:id="14"/>
    </w:p>
    <w:p w14:paraId="5C0F21F3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1、货物质量：中标人提供的货物必须是全新、原装、合格正品，完全符合国家规定的质量标准和厂方的标准。货物完好，配件齐全。</w:t>
      </w:r>
    </w:p>
    <w:p w14:paraId="653E352D">
      <w:pPr>
        <w:pageBreakBefore w:val="0"/>
        <w:widowControl/>
        <w:kinsoku/>
        <w:overflowPunct/>
        <w:topLinePunct w:val="0"/>
        <w:bidi w:val="0"/>
        <w:snapToGrid/>
        <w:spacing w:line="42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2、保修及售后服务：依据商品的保修条款及售后服务条款，提供原厂质保，质保期按照国家规定，且不低于所供品牌向用户承诺的质保期限。招标文件另有约定的从其约定。</w:t>
      </w:r>
    </w:p>
    <w:p w14:paraId="56A1682E">
      <w:pPr>
        <w:pStyle w:val="6"/>
        <w:pageBreakBefore w:val="0"/>
        <w:kinsoku/>
        <w:overflowPunct/>
        <w:topLinePunct w:val="0"/>
        <w:bidi w:val="0"/>
        <w:snapToGrid/>
        <w:spacing w:line="420" w:lineRule="exact"/>
        <w:ind w:firstLine="413" w:firstLineChars="196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bookmarkStart w:id="15" w:name="_Toc22545"/>
      <w:bookmarkStart w:id="16" w:name="_Toc14892"/>
      <w:bookmarkStart w:id="17" w:name="_Toc7671"/>
      <w:bookmarkStart w:id="18" w:name="_Toc490682728"/>
      <w:bookmarkStart w:id="19" w:name="_Toc23093"/>
      <w:r>
        <w:rPr>
          <w:rFonts w:hint="eastAsia" w:hAnsi="宋体" w:eastAsia="宋体" w:cs="宋体"/>
          <w:color w:val="auto"/>
          <w:sz w:val="21"/>
          <w:szCs w:val="21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、验收</w:t>
      </w:r>
      <w:bookmarkEnd w:id="15"/>
      <w:bookmarkEnd w:id="16"/>
      <w:bookmarkEnd w:id="17"/>
      <w:bookmarkEnd w:id="18"/>
      <w:bookmarkEnd w:id="19"/>
    </w:p>
    <w:p w14:paraId="608C1F28">
      <w:pPr>
        <w:pageBreakBefore w:val="0"/>
        <w:kinsoku/>
        <w:overflowPunct/>
        <w:topLinePunct w:val="0"/>
        <w:bidi w:val="0"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 xml:space="preserve">    中标人和招标人双方共同实施验收工作，结果和验收报告经双方确认后生效。</w:t>
      </w:r>
    </w:p>
    <w:bookmarkEnd w:id="0"/>
    <w:p w14:paraId="0C6108B3">
      <w:pPr>
        <w:widowControl/>
        <w:jc w:val="left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40FB1B9B">
      <w:pPr>
        <w:pStyle w:val="11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16C6F03B">
      <w:pPr>
        <w:pStyle w:val="11"/>
        <w:ind w:left="0" w:leftChars="0" w:firstLine="0" w:firstLineChars="0"/>
        <w:rPr>
          <w:rFonts w:hint="eastAsia" w:ascii="宋体" w:hAnsi="宋体" w:eastAsia="宋体" w:cs="宋体"/>
          <w:color w:val="auto"/>
          <w:szCs w:val="21"/>
          <w:highlight w:val="none"/>
        </w:rPr>
      </w:pPr>
    </w:p>
    <w:p w14:paraId="7245B6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7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6">
    <w:name w:val="heading 3"/>
    <w:basedOn w:val="1"/>
    <w:next w:val="1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Plain Text"/>
    <w:basedOn w:val="1"/>
    <w:next w:val="1"/>
    <w:uiPriority w:val="0"/>
    <w:rPr>
      <w:rFonts w:ascii="宋体" w:hAnsi="Courier New"/>
      <w:szCs w:val="20"/>
    </w:rPr>
  </w:style>
  <w:style w:type="paragraph" w:customStyle="1" w:styleId="10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2025-02-24T07:43:38Z</dcterms:created>
  <dc:creator>Administrator</dc:creator>
  <cp:lastModifiedBy>调皮あ小女</cp:lastModifiedBy>
  <dcterms:modified xsi:type="dcterms:W3CDTF">2025-02-24T07:44:01Z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eyJoZGlkIjoiYjczYTgwN2ZhODJjZTI2NGE3MDczZjBmYzdjNjcwODgiLCJ1c2VySWQiOiI5MzU5OTM5MDYifQ==</vt:lpwstr>
  </property>
  <property fmtid="{D5CDD505-2E9C-101B-9397-08002B2CF9AE}" pid="4" name="ICV">
    <vt:lpwstr>2ED8616D37C74D968A715DCF02BCCDDE_12</vt:lpwstr>
  </property>
</Properties>
</file>