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2AD3C">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12E6FE35">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06D9632">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一、商务要求</w:t>
      </w:r>
      <w:r>
        <w:rPr>
          <w:rFonts w:hint="eastAsia" w:ascii="宋体" w:hAnsi="宋体" w:eastAsia="宋体" w:cs="宋体"/>
          <w:b/>
          <w:bCs/>
          <w:color w:val="auto"/>
          <w:sz w:val="21"/>
          <w:szCs w:val="21"/>
          <w:highlight w:val="none"/>
          <w:lang w:eastAsia="zh-CN"/>
        </w:rPr>
        <w:t>：</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0F3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DB9490D">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49FEAE46">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35FA9780">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345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37AAB14">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37EB7B1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6A7257B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验收合格后付至合同价款的95%，剩余价款待质保期满后一次性付清</w:t>
            </w:r>
          </w:p>
        </w:tc>
      </w:tr>
      <w:tr w14:paraId="71B2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7BF1CB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42A89F4F">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38DCCB4A">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安庆市第二人民医院</w:t>
            </w:r>
          </w:p>
        </w:tc>
      </w:tr>
      <w:tr w14:paraId="59F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471AF98">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7A5B4D3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5A708DD1">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24E2150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合同签订并接到招标人供货指令之日起30日历天内完成</w:t>
            </w:r>
          </w:p>
        </w:tc>
      </w:tr>
    </w:tbl>
    <w:p w14:paraId="3CA95A68">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490682725"/>
      <w:bookmarkStart w:id="2" w:name="_Toc20068"/>
      <w:bookmarkStart w:id="3" w:name="_Toc22728"/>
      <w:bookmarkStart w:id="4" w:name="_Toc10379"/>
      <w:r>
        <w:rPr>
          <w:rFonts w:hint="eastAsia" w:ascii="宋体" w:hAnsi="宋体" w:eastAsia="宋体" w:cs="宋体"/>
          <w:bCs/>
          <w:color w:val="auto"/>
          <w:sz w:val="21"/>
          <w:szCs w:val="21"/>
          <w:highlight w:val="none"/>
          <w:lang w:val="en-US" w:eastAsia="zh-CN"/>
        </w:rPr>
        <w:t>二、货物需求及技术要求</w:t>
      </w:r>
      <w:bookmarkEnd w:id="1"/>
      <w:bookmarkEnd w:id="2"/>
      <w:bookmarkEnd w:id="3"/>
      <w:bookmarkEnd w:id="4"/>
      <w:r>
        <w:rPr>
          <w:rFonts w:hint="eastAsia" w:ascii="宋体" w:hAnsi="宋体" w:eastAsia="宋体" w:cs="宋体"/>
          <w:b/>
          <w:bCs/>
          <w:color w:val="auto"/>
          <w:sz w:val="21"/>
          <w:szCs w:val="21"/>
          <w:highlight w:val="none"/>
          <w:lang w:eastAsia="zh-CN"/>
        </w:rPr>
        <w:t>：</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879"/>
        <w:gridCol w:w="5405"/>
        <w:gridCol w:w="586"/>
        <w:gridCol w:w="634"/>
        <w:gridCol w:w="429"/>
      </w:tblGrid>
      <w:tr w14:paraId="6AD5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65A7AE6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579"/>
            <w:bookmarkStart w:id="6" w:name="_Toc490682726"/>
            <w:r>
              <w:rPr>
                <w:rFonts w:hint="eastAsia" w:ascii="宋体" w:hAnsi="宋体" w:eastAsia="宋体" w:cs="宋体"/>
                <w:color w:val="auto"/>
                <w:kern w:val="0"/>
                <w:sz w:val="21"/>
                <w:szCs w:val="21"/>
                <w:highlight w:val="none"/>
              </w:rPr>
              <w:t>序号</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5360FFBF">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174" w:type="pct"/>
            <w:tcBorders>
              <w:top w:val="single" w:color="auto" w:sz="4" w:space="0"/>
              <w:left w:val="single" w:color="auto" w:sz="4" w:space="0"/>
              <w:bottom w:val="single" w:color="auto" w:sz="4" w:space="0"/>
              <w:right w:val="single" w:color="auto" w:sz="4" w:space="0"/>
            </w:tcBorders>
            <w:noWrap w:val="0"/>
            <w:vAlign w:val="center"/>
          </w:tcPr>
          <w:p w14:paraId="2727C28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招标技术参数</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2D1B023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372" w:type="pct"/>
            <w:tcBorders>
              <w:top w:val="single" w:color="auto" w:sz="4" w:space="0"/>
              <w:left w:val="single" w:color="auto" w:sz="4" w:space="0"/>
              <w:bottom w:val="single" w:color="auto" w:sz="4" w:space="0"/>
              <w:right w:val="single" w:color="auto" w:sz="4" w:space="0"/>
            </w:tcBorders>
            <w:noWrap w:val="0"/>
            <w:vAlign w:val="center"/>
          </w:tcPr>
          <w:p w14:paraId="05BBA04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49" w:type="pct"/>
            <w:tcBorders>
              <w:top w:val="single" w:color="auto" w:sz="4" w:space="0"/>
              <w:left w:val="single" w:color="auto" w:sz="4" w:space="0"/>
              <w:bottom w:val="single" w:color="auto" w:sz="4" w:space="0"/>
              <w:right w:val="single" w:color="auto" w:sz="4" w:space="0"/>
            </w:tcBorders>
            <w:noWrap w:val="0"/>
            <w:vAlign w:val="center"/>
          </w:tcPr>
          <w:p w14:paraId="1226E9D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390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160D4F70">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5C04B179">
            <w:pPr>
              <w:jc w:val="center"/>
              <w:rPr>
                <w:rFonts w:hint="eastAsia" w:ascii="宋体" w:hAnsi="宋体" w:eastAsia="宋体" w:cs="宋体"/>
                <w:color w:val="auto"/>
                <w:kern w:val="0"/>
                <w:sz w:val="21"/>
                <w:szCs w:val="21"/>
                <w:highlight w:val="none"/>
              </w:rPr>
            </w:pPr>
            <w:r>
              <w:rPr>
                <w:rFonts w:hint="eastAsia"/>
                <w:vertAlign w:val="baseline"/>
                <w:lang w:val="en-US" w:eastAsia="zh-CN"/>
              </w:rPr>
              <w:t>双臂吊塔</w:t>
            </w:r>
          </w:p>
        </w:tc>
        <w:tc>
          <w:tcPr>
            <w:tcW w:w="3174" w:type="pct"/>
            <w:tcBorders>
              <w:top w:val="single" w:color="auto" w:sz="4" w:space="0"/>
              <w:left w:val="single" w:color="auto" w:sz="4" w:space="0"/>
              <w:bottom w:val="single" w:color="auto" w:sz="4" w:space="0"/>
              <w:right w:val="single" w:color="auto" w:sz="4" w:space="0"/>
            </w:tcBorders>
            <w:noWrap w:val="0"/>
            <w:vAlign w:val="center"/>
          </w:tcPr>
          <w:p w14:paraId="7A78F7C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1、吊塔主体材料要求为高强度铝合金，方形全封闭式设计，吊塔所采用的材料必须防腐蚀，便于清洗，设备表面喷塑采用优质环保抗菌粉末，其具有表面抑制细菌再生作用。</w:t>
            </w:r>
          </w:p>
          <w:p w14:paraId="46F867E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2、吊塔旋转角度≥340度，且具有良好的限位系统。</w:t>
            </w:r>
          </w:p>
          <w:p w14:paraId="08C6C6D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3、所有吊塔上承载的设备的电源线路及气源管路和塔体之间没有相对移动，所有电源线路及气源管路必须在塔体内不能外露，保证吊塔在移动过程中，不会因位置的改变导致线路脱落的意外发生。</w:t>
            </w:r>
          </w:p>
          <w:p w14:paraId="3FA2D04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lang w:val="en-US" w:eastAsia="zh-CN"/>
              </w:rPr>
              <w:t>通过IECQ-QC080000有害物质过程控制管理体系</w:t>
            </w:r>
            <w:r>
              <w:rPr>
                <w:rFonts w:hint="eastAsia" w:ascii="Times New Roman" w:hAnsi="Times New Roman" w:eastAsia="宋体" w:cs="Times New Roman"/>
                <w:szCs w:val="21"/>
                <w:lang w:val="en-US" w:eastAsia="zh-CN"/>
              </w:rPr>
              <w:t>认证</w:t>
            </w:r>
            <w:r>
              <w:rPr>
                <w:rFonts w:hint="default" w:ascii="Times New Roman" w:hAnsi="Times New Roman" w:eastAsia="宋体" w:cs="Times New Roman"/>
                <w:szCs w:val="21"/>
                <w:lang w:val="en-US" w:eastAsia="zh-CN"/>
              </w:rPr>
              <w:t>（提供体系认证证书）</w:t>
            </w:r>
            <w:r>
              <w:rPr>
                <w:rFonts w:hint="eastAsia" w:cs="Times New Roman"/>
                <w:szCs w:val="21"/>
                <w:lang w:val="en-US" w:eastAsia="zh-CN"/>
              </w:rPr>
              <w:t>。</w:t>
            </w:r>
            <w:bookmarkStart w:id="20" w:name="_GoBack"/>
            <w:bookmarkEnd w:id="20"/>
          </w:p>
          <w:p w14:paraId="2F7072A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★5、医用吊塔箱体采用气电分离结构，电源、气源接口分布在箱体的左右两侧，充分实现气电分离，确保设备使用安全。</w:t>
            </w:r>
          </w:p>
          <w:p w14:paraId="5A700EF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★6、吊塔内用于传输气体的软管必须是优质气源软管，为PVC三层管设计，内层为食品级材料，中间层为聚酯线加强层，坚韧性强，无异味。</w:t>
            </w:r>
          </w:p>
          <w:p w14:paraId="783DBE3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★7、终端箱底板应具有开孔，在模拟氧气泄露流量为1L/min时，腔体内部的氧气浓度≤25%。</w:t>
            </w:r>
          </w:p>
          <w:p w14:paraId="01CEB9B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★8、安装基础架平缓施加荷载至20000N.m的试验扭矩，法兰盘水平偏角≤0.5°。</w:t>
            </w:r>
          </w:p>
          <w:p w14:paraId="1F272FC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主要技术参数及配置：</w:t>
            </w:r>
          </w:p>
          <w:p w14:paraId="0665C96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9、旋转臂半径：700+400mm </w:t>
            </w:r>
          </w:p>
          <w:p w14:paraId="0819329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10、仪器托盘高度可调节，单层托盘载荷：≥50KG。</w:t>
            </w:r>
          </w:p>
          <w:p w14:paraId="7CEE5FF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11、仪器平台2个（其中一层带控制把手，一层带抽屉）。</w:t>
            </w:r>
          </w:p>
          <w:p w14:paraId="053321A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12、抽屉1套，安装于仪器平台底部。 </w:t>
            </w:r>
          </w:p>
          <w:p w14:paraId="0579021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气体终端：标准配置为德式气体终端，氧气、医用空气、负压吸引各两个，麻醉废气排放1个、接口颜色及形状不同，具有防接错功能；插拔次数2万次以上；采用二次密封，带三状态（通、断、拔），可带气维修。</w:t>
            </w:r>
          </w:p>
          <w:p w14:paraId="3BA6909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14、电源插座:10只</w:t>
            </w:r>
          </w:p>
          <w:p w14:paraId="2F0BB14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15、电话接口（RJ11）1个，网络接口（RJ45）1个，等电位端子2个</w:t>
            </w:r>
          </w:p>
          <w:p w14:paraId="7D63321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kern w:val="0"/>
                <w:sz w:val="21"/>
                <w:szCs w:val="21"/>
                <w:highlight w:val="none"/>
                <w:lang w:eastAsia="zh-CN"/>
              </w:rPr>
            </w:pPr>
            <w:r>
              <w:rPr>
                <w:rFonts w:hint="eastAsia" w:ascii="Times New Roman" w:hAnsi="Times New Roman" w:eastAsia="宋体" w:cs="Times New Roman"/>
                <w:szCs w:val="21"/>
                <w:lang w:val="en-US" w:eastAsia="zh-CN"/>
              </w:rPr>
              <w:t xml:space="preserve">16、旋转制动类型：机械阻尼刹车  </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063521D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372" w:type="pct"/>
            <w:tcBorders>
              <w:top w:val="single" w:color="auto" w:sz="4" w:space="0"/>
              <w:left w:val="single" w:color="auto" w:sz="4" w:space="0"/>
              <w:bottom w:val="single" w:color="auto" w:sz="4" w:space="0"/>
              <w:right w:val="single" w:color="auto" w:sz="4" w:space="0"/>
            </w:tcBorders>
            <w:noWrap w:val="0"/>
            <w:vAlign w:val="center"/>
          </w:tcPr>
          <w:p w14:paraId="3C824DDD">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9" w:type="pct"/>
            <w:tcBorders>
              <w:top w:val="single" w:color="auto" w:sz="4" w:space="0"/>
              <w:left w:val="single" w:color="auto" w:sz="4" w:space="0"/>
              <w:bottom w:val="single" w:color="auto" w:sz="4" w:space="0"/>
              <w:right w:val="single" w:color="auto" w:sz="4" w:space="0"/>
            </w:tcBorders>
            <w:noWrap w:val="0"/>
            <w:vAlign w:val="center"/>
          </w:tcPr>
          <w:p w14:paraId="3808166F">
            <w:pPr>
              <w:pStyle w:val="8"/>
              <w:pageBreakBefore w:val="0"/>
              <w:kinsoku/>
              <w:overflowPunct/>
              <w:topLinePunct w:val="0"/>
              <w:bidi w:val="0"/>
              <w:snapToGrid/>
              <w:spacing w:line="420" w:lineRule="exact"/>
              <w:jc w:val="left"/>
              <w:textAlignment w:val="auto"/>
              <w:rPr>
                <w:rFonts w:hint="eastAsia" w:ascii="宋体" w:hAnsi="宋体" w:eastAsia="宋体" w:cs="宋体"/>
                <w:color w:val="auto"/>
                <w:kern w:val="0"/>
                <w:sz w:val="21"/>
                <w:szCs w:val="21"/>
                <w:highlight w:val="none"/>
              </w:rPr>
            </w:pPr>
          </w:p>
        </w:tc>
      </w:tr>
      <w:tr w14:paraId="199E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68E01242">
            <w:pPr>
              <w:pageBreakBefore w:val="0"/>
              <w:kinsoku/>
              <w:overflowPunct/>
              <w:topLinePunct w:val="0"/>
              <w:bidi w:val="0"/>
              <w:snapToGrid/>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3879125E">
            <w:pPr>
              <w:pageBreakBefore w:val="0"/>
              <w:widowControl/>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、投标人的投标文件必须标明所供货物的品牌与参数，保证原厂正品供货，提供相关资料等</w:t>
            </w:r>
            <w:r>
              <w:rPr>
                <w:rFonts w:hint="eastAsia" w:ascii="宋体" w:hAnsi="宋体" w:eastAsia="宋体" w:cs="宋体"/>
                <w:color w:val="auto"/>
                <w:sz w:val="21"/>
                <w:szCs w:val="21"/>
                <w:highlight w:val="none"/>
                <w:lang w:eastAsia="zh-CN"/>
              </w:rPr>
              <w:t>，如为进口产品需在备注栏标明进口。</w:t>
            </w:r>
          </w:p>
          <w:p w14:paraId="5E0014F1">
            <w:pPr>
              <w:pageBreakBefore w:val="0"/>
              <w:widowControl/>
              <w:kinsoku/>
              <w:overflowPunct/>
              <w:topLinePunct w:val="0"/>
              <w:bidi w:val="0"/>
              <w:snapToGrid/>
              <w:spacing w:line="420" w:lineRule="exact"/>
              <w:jc w:val="left"/>
              <w:textAlignment w:val="auto"/>
              <w:rPr>
                <w:rFonts w:hint="eastAsia"/>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以上技术参数</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需提供技术证明文件之一（医疗器械注册证、医疗器械注册登记表、第三方检测报告、产品技术白皮书、产品使用说明书）予以证明</w:t>
            </w:r>
            <w:r>
              <w:rPr>
                <w:rFonts w:hint="eastAsia" w:ascii="宋体" w:hAnsi="宋体" w:eastAsia="宋体" w:cs="宋体"/>
                <w:color w:val="auto"/>
                <w:sz w:val="21"/>
                <w:szCs w:val="21"/>
                <w:highlight w:val="none"/>
                <w:lang w:eastAsia="zh-CN"/>
              </w:rPr>
              <w:t>。</w:t>
            </w:r>
          </w:p>
        </w:tc>
      </w:tr>
    </w:tbl>
    <w:p w14:paraId="7A5C3300">
      <w:pPr>
        <w:pStyle w:val="4"/>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7" w:name="_Toc18393"/>
      <w:bookmarkStart w:id="8" w:name="_Toc27108"/>
      <w:bookmarkStart w:id="9" w:name="_Toc27256"/>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、人员培训要求</w:t>
      </w:r>
      <w:bookmarkEnd w:id="5"/>
      <w:bookmarkEnd w:id="6"/>
      <w:bookmarkEnd w:id="7"/>
      <w:bookmarkEnd w:id="8"/>
      <w:bookmarkEnd w:id="9"/>
    </w:p>
    <w:p w14:paraId="3047FA67">
      <w:pPr>
        <w:pageBreakBefore w:val="0"/>
        <w:widowControl/>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货物安装、调试、验收合格后，中标人应对招标人的相关人员进行免费现场培训。培训内容包括基本操作、保养维修、常见故障及解决办法等。</w:t>
      </w:r>
    </w:p>
    <w:p w14:paraId="117EB8EA">
      <w:pPr>
        <w:pStyle w:val="4"/>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10" w:name="_Toc18380"/>
      <w:bookmarkStart w:id="11" w:name="_Toc21193"/>
      <w:bookmarkStart w:id="12" w:name="_Toc490682727"/>
      <w:bookmarkStart w:id="13" w:name="_Toc3184"/>
      <w:bookmarkStart w:id="14" w:name="_Toc17601"/>
      <w:r>
        <w:rPr>
          <w:rFonts w:hint="eastAsia"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、货物质量及售后服务要求</w:t>
      </w:r>
      <w:bookmarkEnd w:id="10"/>
      <w:bookmarkEnd w:id="11"/>
      <w:bookmarkEnd w:id="12"/>
      <w:bookmarkEnd w:id="13"/>
      <w:bookmarkEnd w:id="14"/>
    </w:p>
    <w:p w14:paraId="5458F512">
      <w:pPr>
        <w:pageBreakBefore w:val="0"/>
        <w:widowControl/>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1、货物质量：中标人提供的货物必须是全新、原装、合格正品，完全符合国家规定的质量标准和厂方的标准。货物完好，配件齐全。</w:t>
      </w:r>
    </w:p>
    <w:p w14:paraId="31231B63">
      <w:pPr>
        <w:pageBreakBefore w:val="0"/>
        <w:widowControl/>
        <w:kinsoku/>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2、保修及售后服务：依据商品的保修条款及售后服务条款，提供原厂质保，质保期按照国家规定，且不低于所供品牌向用户承诺的质保期限。招标文件另有约定的从其约定。质保期从货物验收合格后算起</w:t>
      </w:r>
      <w:r>
        <w:rPr>
          <w:rFonts w:hint="eastAsia" w:ascii="宋体" w:hAnsi="宋体" w:eastAsia="宋体" w:cs="宋体"/>
          <w:color w:val="auto"/>
          <w:sz w:val="21"/>
          <w:szCs w:val="21"/>
          <w:highlight w:val="none"/>
          <w:lang w:eastAsia="zh-CN"/>
        </w:rPr>
        <w:t>，不低于二年</w:t>
      </w:r>
      <w:r>
        <w:rPr>
          <w:rFonts w:hint="eastAsia" w:ascii="宋体" w:hAnsi="宋体" w:eastAsia="宋体" w:cs="宋体"/>
          <w:color w:val="auto"/>
          <w:sz w:val="21"/>
          <w:szCs w:val="21"/>
          <w:highlight w:val="none"/>
        </w:rPr>
        <w:t>。</w:t>
      </w:r>
    </w:p>
    <w:p w14:paraId="30A2EC7B">
      <w:pPr>
        <w:pStyle w:val="4"/>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15" w:name="_Toc23093"/>
      <w:bookmarkStart w:id="16" w:name="_Toc22545"/>
      <w:bookmarkStart w:id="17" w:name="_Toc14892"/>
      <w:bookmarkStart w:id="18" w:name="_Toc490682728"/>
      <w:bookmarkStart w:id="19" w:name="_Toc7671"/>
      <w:r>
        <w:rPr>
          <w:rFonts w:hint="eastAsia"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、验收</w:t>
      </w:r>
      <w:bookmarkEnd w:id="15"/>
      <w:bookmarkEnd w:id="16"/>
      <w:bookmarkEnd w:id="17"/>
      <w:bookmarkEnd w:id="18"/>
      <w:bookmarkEnd w:id="19"/>
    </w:p>
    <w:p w14:paraId="1890A9BB">
      <w:pPr>
        <w:pageBreakBefore w:val="0"/>
        <w:kinsoku/>
        <w:overflowPunct/>
        <w:topLinePunct w:val="0"/>
        <w:bidi w:val="0"/>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    中标人和招标人双方共同实施验收工作，结果和验收报告经双方确认后生效。</w:t>
      </w:r>
      <w:bookmarkEnd w:id="0"/>
    </w:p>
    <w:p w14:paraId="0DAC1495">
      <w:pPr>
        <w:pageBreakBefore w:val="0"/>
        <w:widowControl/>
        <w:kinsoku/>
        <w:overflowPunct/>
        <w:topLinePunct w:val="0"/>
        <w:bidi w:val="0"/>
        <w:snapToGrid/>
        <w:spacing w:beforeAutospacing="0" w:afterAutospacing="0" w:line="420" w:lineRule="exact"/>
        <w:jc w:val="left"/>
        <w:textAlignment w:val="auto"/>
        <w:rPr>
          <w:rFonts w:hint="eastAsia" w:ascii="宋体" w:hAnsi="宋体" w:eastAsia="宋体" w:cs="宋体"/>
          <w:color w:val="auto"/>
          <w:sz w:val="21"/>
          <w:szCs w:val="21"/>
          <w:highlight w:val="none"/>
        </w:rPr>
      </w:pPr>
    </w:p>
    <w:p w14:paraId="26399652">
      <w:pPr>
        <w:pStyle w:val="3"/>
        <w:numPr>
          <w:ilvl w:val="0"/>
          <w:numId w:val="0"/>
        </w:numPr>
        <w:ind w:leftChars="0"/>
        <w:jc w:val="center"/>
        <w:rPr>
          <w:rFonts w:hint="eastAsia" w:ascii="宋体" w:hAnsi="宋体" w:eastAsia="宋体" w:cs="宋体"/>
          <w:b/>
          <w:bCs/>
          <w:highlight w:val="none"/>
          <w:lang w:val="en-US" w:eastAsia="zh-CN"/>
        </w:rPr>
      </w:pPr>
    </w:p>
    <w:p w14:paraId="79D5D0E6">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1C2625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6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Plain Text"/>
    <w:basedOn w:val="1"/>
    <w:next w:val="1"/>
    <w:qFormat/>
    <w:uiPriority w:val="0"/>
    <w:rPr>
      <w:rFonts w:ascii="宋体" w:hAnsi="Courier New"/>
      <w:szCs w:val="20"/>
    </w:rPr>
  </w:style>
  <w:style w:type="paragraph" w:customStyle="1" w:styleId="8">
    <w:name w:val="无间隔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2025-02-13T01:32:20Z</dcterms:created>
  <dc:creator>Administrator</dc:creator>
  <cp:lastModifiedBy>调皮あ小女</cp:lastModifiedBy>
  <dcterms:modified xsi:type="dcterms:W3CDTF">2025-02-13T01:32:48Z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10B76C168039414D8EF91978D786AAEE_12</vt:lpwstr>
  </property>
</Properties>
</file>